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jc w:val="center"/>
        <w:tblLayout w:type="fixed"/>
        <w:tblLook w:val="0000" w:firstRow="0" w:lastRow="0" w:firstColumn="0" w:lastColumn="0" w:noHBand="0" w:noVBand="0"/>
      </w:tblPr>
      <w:tblGrid>
        <w:gridCol w:w="3438"/>
        <w:gridCol w:w="6030"/>
      </w:tblGrid>
      <w:tr w:rsidR="00AE05A0" w:rsidRPr="000A74BB" w14:paraId="49AD3D46" w14:textId="77777777" w:rsidTr="00267E54">
        <w:trPr>
          <w:trHeight w:val="1276"/>
          <w:jc w:val="center"/>
        </w:trPr>
        <w:tc>
          <w:tcPr>
            <w:tcW w:w="3438" w:type="dxa"/>
          </w:tcPr>
          <w:p w14:paraId="18096528" w14:textId="77777777" w:rsidR="00AE05A0" w:rsidRPr="000A74BB" w:rsidRDefault="00AE05A0" w:rsidP="00AE05A0">
            <w:pPr>
              <w:jc w:val="center"/>
              <w:rPr>
                <w:spacing w:val="-6"/>
                <w:sz w:val="26"/>
                <w:szCs w:val="26"/>
                <w:lang w:val="en-GB"/>
              </w:rPr>
            </w:pPr>
            <w:r w:rsidRPr="000A74BB">
              <w:rPr>
                <w:spacing w:val="-6"/>
                <w:sz w:val="26"/>
                <w:szCs w:val="26"/>
                <w:lang w:val="en-GB"/>
              </w:rPr>
              <w:t>BỘ TÀI CHÍNH</w:t>
            </w:r>
          </w:p>
          <w:p w14:paraId="3B7A7BA9" w14:textId="77777777" w:rsidR="00AE05A0" w:rsidRPr="000A74BB" w:rsidRDefault="00AE05A0" w:rsidP="00AE05A0">
            <w:pPr>
              <w:jc w:val="center"/>
              <w:rPr>
                <w:b/>
                <w:bCs/>
                <w:spacing w:val="-6"/>
                <w:sz w:val="26"/>
                <w:szCs w:val="26"/>
                <w:lang w:val="en-GB"/>
              </w:rPr>
            </w:pPr>
            <w:r w:rsidRPr="000A74BB">
              <w:rPr>
                <w:b/>
                <w:bCs/>
                <w:spacing w:val="-6"/>
                <w:sz w:val="26"/>
                <w:szCs w:val="26"/>
                <w:lang w:val="en-GB"/>
              </w:rPr>
              <w:t>CỤC THỐNG KÊ</w:t>
            </w:r>
          </w:p>
          <w:p w14:paraId="64E6CAD9" w14:textId="77777777" w:rsidR="00AE05A0" w:rsidRPr="000A74BB" w:rsidRDefault="00AE05A0" w:rsidP="00AE05A0">
            <w:pPr>
              <w:spacing w:line="144" w:lineRule="auto"/>
              <w:jc w:val="center"/>
              <w:rPr>
                <w:bCs/>
                <w:spacing w:val="-6"/>
                <w:vertAlign w:val="superscript"/>
                <w:lang w:val="en-GB"/>
              </w:rPr>
            </w:pPr>
            <w:r w:rsidRPr="000A74BB">
              <w:rPr>
                <w:bCs/>
                <w:spacing w:val="-6"/>
                <w:sz w:val="26"/>
                <w:szCs w:val="26"/>
                <w:vertAlign w:val="superscript"/>
                <w:lang w:val="en-GB"/>
              </w:rPr>
              <w:t>________________</w:t>
            </w:r>
          </w:p>
          <w:p w14:paraId="0500D97A" w14:textId="71404FD6" w:rsidR="00AE05A0" w:rsidRPr="000A74BB" w:rsidRDefault="00AE05A0" w:rsidP="00AE05A0">
            <w:pPr>
              <w:spacing w:before="240" w:line="252" w:lineRule="auto"/>
              <w:jc w:val="center"/>
              <w:rPr>
                <w:lang w:val="en-GB"/>
              </w:rPr>
            </w:pPr>
            <w:r w:rsidRPr="000A74BB">
              <w:rPr>
                <w:lang w:val="en-GB"/>
              </w:rPr>
              <w:t>Số:</w:t>
            </w:r>
            <w:r w:rsidR="00496C77" w:rsidRPr="000A74BB">
              <w:rPr>
                <w:lang w:val="en-GB"/>
              </w:rPr>
              <w:t xml:space="preserve"> </w:t>
            </w:r>
            <w:r w:rsidR="00FC44A7">
              <w:rPr>
                <w:lang w:val="en-GB"/>
              </w:rPr>
              <w:t>261</w:t>
            </w:r>
            <w:r w:rsidRPr="000A74BB">
              <w:rPr>
                <w:lang w:val="en-GB"/>
              </w:rPr>
              <w:t>/BC-CTK</w:t>
            </w:r>
          </w:p>
        </w:tc>
        <w:tc>
          <w:tcPr>
            <w:tcW w:w="6030" w:type="dxa"/>
          </w:tcPr>
          <w:p w14:paraId="0CA3CD5A" w14:textId="77777777" w:rsidR="00AE05A0" w:rsidRPr="000A74BB" w:rsidRDefault="00AE05A0" w:rsidP="00AE05A0">
            <w:pPr>
              <w:jc w:val="center"/>
              <w:rPr>
                <w:b/>
                <w:bCs/>
                <w:sz w:val="26"/>
                <w:szCs w:val="26"/>
                <w:lang w:val="en-GB"/>
              </w:rPr>
            </w:pPr>
            <w:r w:rsidRPr="000A74BB">
              <w:rPr>
                <w:b/>
                <w:bCs/>
                <w:sz w:val="26"/>
                <w:szCs w:val="26"/>
                <w:lang w:val="en-GB"/>
              </w:rPr>
              <w:t>CỘNG HÒA XÃ HỘI CHỦ NGHĨA VIỆT NAM</w:t>
            </w:r>
          </w:p>
          <w:p w14:paraId="0309B9BC" w14:textId="77777777" w:rsidR="00AE05A0" w:rsidRPr="000A74BB" w:rsidRDefault="00AE05A0" w:rsidP="00AE05A0">
            <w:pPr>
              <w:jc w:val="center"/>
              <w:rPr>
                <w:b/>
                <w:bCs/>
                <w:szCs w:val="24"/>
                <w:lang w:val="en-GB"/>
              </w:rPr>
            </w:pPr>
            <w:r w:rsidRPr="000A74BB">
              <w:rPr>
                <w:b/>
                <w:bCs/>
                <w:szCs w:val="24"/>
                <w:lang w:val="en-GB"/>
              </w:rPr>
              <w:t>Độc lập - Tự do - Hạnh phúc</w:t>
            </w:r>
          </w:p>
          <w:p w14:paraId="27271214" w14:textId="77777777" w:rsidR="00AE05A0" w:rsidRPr="000A74BB" w:rsidRDefault="00AE05A0" w:rsidP="00AE05A0">
            <w:pPr>
              <w:spacing w:line="144" w:lineRule="auto"/>
              <w:jc w:val="center"/>
              <w:rPr>
                <w:bCs/>
                <w:szCs w:val="24"/>
                <w:vertAlign w:val="superscript"/>
                <w:lang w:val="en-GB"/>
              </w:rPr>
            </w:pPr>
            <w:r w:rsidRPr="000A74BB">
              <w:rPr>
                <w:bCs/>
                <w:szCs w:val="24"/>
                <w:vertAlign w:val="superscript"/>
                <w:lang w:val="en-GB"/>
              </w:rPr>
              <w:t>______________________________________</w:t>
            </w:r>
          </w:p>
          <w:p w14:paraId="20ED4643" w14:textId="781EFFCE" w:rsidR="00AE05A0" w:rsidRPr="000A74BB" w:rsidRDefault="00AE05A0" w:rsidP="00AE05A0">
            <w:pPr>
              <w:spacing w:before="240" w:line="252" w:lineRule="auto"/>
              <w:ind w:hanging="2"/>
              <w:jc w:val="center"/>
              <w:rPr>
                <w:b/>
                <w:bCs/>
                <w:i/>
                <w:iCs/>
                <w:lang w:val="en-GB"/>
              </w:rPr>
            </w:pPr>
            <w:r w:rsidRPr="000A74BB">
              <w:rPr>
                <w:i/>
                <w:iCs/>
                <w:lang w:val="en-GB"/>
              </w:rPr>
              <w:t xml:space="preserve">Hà Nội, ngày 06 tháng </w:t>
            </w:r>
            <w:r w:rsidR="00C67D4D" w:rsidRPr="000A74BB">
              <w:rPr>
                <w:i/>
                <w:iCs/>
                <w:lang w:val="en-GB"/>
              </w:rPr>
              <w:t>8</w:t>
            </w:r>
            <w:r w:rsidRPr="000A74BB">
              <w:rPr>
                <w:i/>
                <w:iCs/>
                <w:lang w:val="en-GB"/>
              </w:rPr>
              <w:t xml:space="preserve"> năm 2025</w:t>
            </w:r>
          </w:p>
        </w:tc>
      </w:tr>
    </w:tbl>
    <w:p w14:paraId="68E81A84" w14:textId="77777777" w:rsidR="002A7012" w:rsidRPr="000A74BB" w:rsidRDefault="002A7012" w:rsidP="002A7012">
      <w:pPr>
        <w:jc w:val="center"/>
        <w:rPr>
          <w:b/>
          <w:bCs/>
          <w:sz w:val="24"/>
          <w:szCs w:val="48"/>
        </w:rPr>
      </w:pPr>
    </w:p>
    <w:p w14:paraId="2B4E257A" w14:textId="77777777" w:rsidR="002A7012" w:rsidRPr="000A74BB" w:rsidRDefault="002A7012" w:rsidP="002A7012">
      <w:pPr>
        <w:jc w:val="center"/>
        <w:rPr>
          <w:b/>
          <w:bCs/>
          <w:sz w:val="40"/>
          <w:szCs w:val="40"/>
        </w:rPr>
      </w:pPr>
      <w:r w:rsidRPr="000A74BB">
        <w:rPr>
          <w:b/>
          <w:bCs/>
          <w:sz w:val="40"/>
          <w:szCs w:val="40"/>
        </w:rPr>
        <w:t>BÁO CÁO</w:t>
      </w:r>
    </w:p>
    <w:p w14:paraId="700085E5" w14:textId="535C68E6" w:rsidR="002A7012" w:rsidRPr="000A74BB" w:rsidRDefault="002A7012" w:rsidP="002A7012">
      <w:pPr>
        <w:jc w:val="center"/>
        <w:rPr>
          <w:b/>
          <w:bCs/>
          <w:sz w:val="34"/>
          <w:szCs w:val="34"/>
        </w:rPr>
      </w:pPr>
      <w:r w:rsidRPr="000A74BB">
        <w:rPr>
          <w:b/>
          <w:bCs/>
          <w:sz w:val="34"/>
          <w:szCs w:val="34"/>
        </w:rPr>
        <w:t xml:space="preserve">TÌNH HÌNH KINH TẾ </w:t>
      </w:r>
      <w:r w:rsidRPr="000A74BB">
        <w:rPr>
          <w:bCs/>
          <w:sz w:val="34"/>
          <w:szCs w:val="34"/>
        </w:rPr>
        <w:t>-</w:t>
      </w:r>
      <w:r w:rsidRPr="000A74BB">
        <w:rPr>
          <w:b/>
          <w:bCs/>
          <w:sz w:val="34"/>
          <w:szCs w:val="34"/>
        </w:rPr>
        <w:t xml:space="preserve"> XÃ HỘI </w:t>
      </w:r>
      <w:r w:rsidRPr="000A74BB">
        <w:rPr>
          <w:b/>
          <w:bCs/>
          <w:sz w:val="34"/>
          <w:szCs w:val="34"/>
        </w:rPr>
        <w:br/>
        <w:t xml:space="preserve">THÁNG </w:t>
      </w:r>
      <w:r w:rsidR="00C67D4D" w:rsidRPr="000A74BB">
        <w:rPr>
          <w:b/>
          <w:bCs/>
          <w:sz w:val="34"/>
          <w:szCs w:val="34"/>
        </w:rPr>
        <w:t>BẢY</w:t>
      </w:r>
      <w:r w:rsidRPr="000A74BB">
        <w:rPr>
          <w:b/>
          <w:bCs/>
          <w:sz w:val="34"/>
          <w:szCs w:val="34"/>
        </w:rPr>
        <w:t xml:space="preserve"> VÀ </w:t>
      </w:r>
      <w:r w:rsidR="00C67D4D" w:rsidRPr="000A74BB">
        <w:rPr>
          <w:b/>
          <w:bCs/>
          <w:sz w:val="34"/>
          <w:szCs w:val="34"/>
        </w:rPr>
        <w:t>7</w:t>
      </w:r>
      <w:r w:rsidRPr="000A74BB">
        <w:rPr>
          <w:b/>
          <w:bCs/>
          <w:sz w:val="34"/>
          <w:szCs w:val="34"/>
        </w:rPr>
        <w:t xml:space="preserve"> THÁNG NĂM 202</w:t>
      </w:r>
      <w:r w:rsidR="00AE05A0" w:rsidRPr="000A74BB">
        <w:rPr>
          <w:b/>
          <w:bCs/>
          <w:sz w:val="34"/>
          <w:szCs w:val="34"/>
        </w:rPr>
        <w:t>5</w:t>
      </w:r>
    </w:p>
    <w:p w14:paraId="5F1D9475" w14:textId="77777777" w:rsidR="002A7012" w:rsidRPr="000A74BB" w:rsidRDefault="002A7012" w:rsidP="002A7012">
      <w:pPr>
        <w:spacing w:before="20"/>
        <w:jc w:val="center"/>
        <w:rPr>
          <w:rFonts w:ascii="Arial" w:hAnsi="Arial" w:cs="Arial"/>
          <w:b/>
          <w:bCs/>
          <w:sz w:val="38"/>
          <w:szCs w:val="52"/>
        </w:rPr>
      </w:pPr>
      <w:r w:rsidRPr="000A74BB">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0A74BB" w:rsidRDefault="006D3AD1" w:rsidP="00EF01E6">
      <w:pPr>
        <w:spacing w:after="120" w:line="264" w:lineRule="auto"/>
        <w:ind w:firstLine="720"/>
        <w:jc w:val="both"/>
        <w:rPr>
          <w:b/>
          <w:bCs/>
        </w:rPr>
      </w:pPr>
      <w:r w:rsidRPr="000A74BB">
        <w:rPr>
          <w:b/>
          <w:bCs/>
        </w:rPr>
        <w:t>1. Sản xuất nông, lâm nghiệp và thủy sản</w:t>
      </w:r>
    </w:p>
    <w:p w14:paraId="480ED3C0" w14:textId="7EF3CC06" w:rsidR="00C67D4D" w:rsidRPr="00306C05" w:rsidRDefault="00C67D4D" w:rsidP="00EF01E6">
      <w:pPr>
        <w:spacing w:after="120" w:line="264" w:lineRule="auto"/>
        <w:ind w:firstLine="720"/>
        <w:jc w:val="both"/>
        <w:rPr>
          <w:i/>
          <w:spacing w:val="-4"/>
        </w:rPr>
      </w:pPr>
      <w:r w:rsidRPr="000A74BB">
        <w:rPr>
          <w:i/>
          <w:lang w:val="sv-SE"/>
        </w:rPr>
        <w:t xml:space="preserve">Sản xuất nông nghiệp trong tháng </w:t>
      </w:r>
      <w:r w:rsidRPr="00306C05">
        <w:rPr>
          <w:i/>
        </w:rPr>
        <w:t xml:space="preserve">tập trung vào gieo cấy, chăm sóc lúa, cây trồng vụ mùa và vụ hè thu, đồng thời triển khai quyết liệt, đồng bộ các biện pháp phòng chống, kiểm soát hiệu quả bệnh dịch tả lợn châu Phi, bảo vệ và phát triển đàn gia súc, gia cầm trong cả nước. </w:t>
      </w:r>
      <w:r w:rsidRPr="00306C05">
        <w:rPr>
          <w:i/>
          <w:spacing w:val="4"/>
        </w:rPr>
        <w:t>Sản xuất lâm nghiệp</w:t>
      </w:r>
      <w:r w:rsidR="00306C05">
        <w:rPr>
          <w:i/>
          <w:spacing w:val="4"/>
        </w:rPr>
        <w:t xml:space="preserve"> chủ</w:t>
      </w:r>
      <w:r w:rsidRPr="00306C05">
        <w:rPr>
          <w:i/>
          <w:spacing w:val="4"/>
        </w:rPr>
        <w:t xml:space="preserve"> yếu tập trung trồng rừng, khai thác gỗ theo kế hoạch</w:t>
      </w:r>
      <w:r w:rsidRPr="00306C05">
        <w:rPr>
          <w:i/>
        </w:rPr>
        <w:t xml:space="preserve">. Nuôi trồng thủy sản tiếp tục đạt kết quả khá, </w:t>
      </w:r>
      <w:r w:rsidRPr="00306C05">
        <w:rPr>
          <w:i/>
          <w:spacing w:val="-4"/>
        </w:rPr>
        <w:t>khai thác thủy sản giảm nhẹ do ảnh hưởng bão số 3.</w:t>
      </w:r>
    </w:p>
    <w:p w14:paraId="7BDE5340" w14:textId="77777777" w:rsidR="00C67D4D" w:rsidRPr="000A74BB" w:rsidRDefault="00C67D4D" w:rsidP="00EF01E6">
      <w:pPr>
        <w:tabs>
          <w:tab w:val="left" w:pos="360"/>
          <w:tab w:val="left" w:pos="1134"/>
        </w:tabs>
        <w:spacing w:after="120" w:line="264" w:lineRule="auto"/>
        <w:ind w:firstLine="720"/>
        <w:jc w:val="both"/>
        <w:rPr>
          <w:b/>
          <w:bCs/>
          <w:i/>
          <w:iCs/>
        </w:rPr>
      </w:pPr>
      <w:r w:rsidRPr="000A74BB">
        <w:rPr>
          <w:b/>
          <w:bCs/>
          <w:i/>
          <w:iCs/>
        </w:rPr>
        <w:t xml:space="preserve">a) Nông nghiệp </w:t>
      </w:r>
    </w:p>
    <w:p w14:paraId="1B2CAAAC" w14:textId="77777777" w:rsidR="00C67D4D" w:rsidRPr="000A74BB" w:rsidRDefault="00C67D4D" w:rsidP="00EF01E6">
      <w:pPr>
        <w:tabs>
          <w:tab w:val="left" w:pos="720"/>
        </w:tabs>
        <w:spacing w:after="120" w:line="264" w:lineRule="auto"/>
        <w:ind w:firstLine="720"/>
        <w:jc w:val="both"/>
        <w:rPr>
          <w:i/>
          <w:lang w:val="sv-SE"/>
        </w:rPr>
      </w:pPr>
      <w:r w:rsidRPr="000A74BB">
        <w:rPr>
          <w:i/>
          <w:lang w:val="sv-SE"/>
        </w:rPr>
        <w:t>Lúa mùa</w:t>
      </w:r>
    </w:p>
    <w:p w14:paraId="1B9C5C08" w14:textId="50F22A97" w:rsidR="00C67D4D" w:rsidRPr="000A74BB" w:rsidRDefault="00C67D4D" w:rsidP="00EF01E6">
      <w:pPr>
        <w:pStyle w:val="FootnoteText"/>
        <w:spacing w:after="120" w:line="264" w:lineRule="auto"/>
        <w:ind w:firstLine="720"/>
        <w:jc w:val="both"/>
        <w:rPr>
          <w:sz w:val="28"/>
          <w:szCs w:val="28"/>
          <w:lang w:val="en-US"/>
        </w:rPr>
      </w:pPr>
      <w:r w:rsidRPr="00306C05">
        <w:rPr>
          <w:sz w:val="28"/>
          <w:szCs w:val="28"/>
          <w:lang w:val="en-US"/>
        </w:rPr>
        <w:t xml:space="preserve">Tính đến ngày 20/7/2025, cả nước gieo cấy được 1.209,6 nghìn ha lúa mùa, giảm 10,5 nghìn ha so với cùng kỳ năm trước. Các địa phương miền Bắc đạt 841,8 nghìn ha, giảm 23,9 nghìn ha, trong đó: Bắc Ninh </w:t>
      </w:r>
      <w:r w:rsidRPr="00306C05">
        <w:rPr>
          <w:spacing w:val="-4"/>
          <w:sz w:val="28"/>
          <w:szCs w:val="28"/>
          <w:lang w:val="en-US"/>
        </w:rPr>
        <w:t>giảm 14,4 nghìn ha</w:t>
      </w:r>
      <w:r w:rsidRPr="00306C05">
        <w:rPr>
          <w:sz w:val="28"/>
          <w:szCs w:val="28"/>
          <w:lang w:val="en-US"/>
        </w:rPr>
        <w:t xml:space="preserve"> do khung thời vụ muộn hơn năm trước; Hưng Yên giảm 5,6</w:t>
      </w:r>
      <w:r w:rsidRPr="00306C05">
        <w:rPr>
          <w:spacing w:val="-4"/>
          <w:sz w:val="28"/>
          <w:szCs w:val="28"/>
          <w:lang w:val="en-US"/>
        </w:rPr>
        <w:t xml:space="preserve"> nghìn ha</w:t>
      </w:r>
      <w:r w:rsidRPr="00306C05">
        <w:rPr>
          <w:sz w:val="28"/>
          <w:szCs w:val="28"/>
          <w:lang w:val="en-US"/>
        </w:rPr>
        <w:t xml:space="preserve"> do chuyển một phần diện tích sang phục vụ làm đường, mở rộng khu công nghiệp; Ninh Bình </w:t>
      </w:r>
      <w:r w:rsidRPr="00306C05">
        <w:rPr>
          <w:spacing w:val="-4"/>
          <w:sz w:val="28"/>
          <w:szCs w:val="28"/>
          <w:lang w:val="en-US"/>
        </w:rPr>
        <w:t>giảm 5,4 nghìn ha</w:t>
      </w:r>
      <w:r w:rsidRPr="00306C05">
        <w:rPr>
          <w:sz w:val="28"/>
          <w:szCs w:val="28"/>
          <w:lang w:val="en-US"/>
        </w:rPr>
        <w:t xml:space="preserve"> chủ yếu do thu hồi đất phục vụ dự án xây dựng khu công nghiệp. Các địa phương miền Nam đạt 367,8 nghìn ha, tăng 13,3 nghìn ha </w:t>
      </w:r>
      <w:r w:rsidRPr="000A74BB">
        <w:rPr>
          <w:sz w:val="28"/>
          <w:szCs w:val="28"/>
        </w:rPr>
        <w:t>do ít bị ảnh hưởng bởi xâm nhập mặn nên người dân tích cực xuống giống tối đa diện tích</w:t>
      </w:r>
      <w:r w:rsidRPr="00306C05">
        <w:rPr>
          <w:sz w:val="28"/>
          <w:szCs w:val="28"/>
          <w:lang w:val="en-US"/>
        </w:rPr>
        <w:t xml:space="preserve">. </w:t>
      </w:r>
      <w:r w:rsidRPr="000A74BB">
        <w:rPr>
          <w:sz w:val="28"/>
          <w:szCs w:val="28"/>
          <w:lang w:val="en-US"/>
        </w:rPr>
        <w:t xml:space="preserve">Một số địa phương có diện tích gieo cấy </w:t>
      </w:r>
      <w:r w:rsidR="006F1E1C">
        <w:rPr>
          <w:sz w:val="28"/>
          <w:szCs w:val="28"/>
          <w:lang w:val="en-US"/>
        </w:rPr>
        <w:t xml:space="preserve">tăng </w:t>
      </w:r>
      <w:r w:rsidRPr="000A74BB">
        <w:rPr>
          <w:sz w:val="28"/>
          <w:szCs w:val="28"/>
          <w:lang w:val="en-US"/>
        </w:rPr>
        <w:t xml:space="preserve">so với cùng kỳ năm trước: An Giang tăng 6,1 nghìn ha; Gia Lai tăng 4,2 nghìn ha; Cà Mau tăng 3,6 nghìn ha. </w:t>
      </w:r>
    </w:p>
    <w:p w14:paraId="588366B0" w14:textId="77777777" w:rsidR="00C67D4D" w:rsidRPr="000A74BB" w:rsidRDefault="00C67D4D" w:rsidP="00EF01E6">
      <w:pPr>
        <w:tabs>
          <w:tab w:val="left" w:pos="720"/>
        </w:tabs>
        <w:spacing w:after="120" w:line="264" w:lineRule="auto"/>
        <w:ind w:firstLine="720"/>
        <w:jc w:val="both"/>
        <w:rPr>
          <w:i/>
          <w:lang w:val="sv-SE"/>
        </w:rPr>
      </w:pPr>
      <w:r w:rsidRPr="000A74BB">
        <w:rPr>
          <w:i/>
          <w:lang w:val="sv-SE"/>
        </w:rPr>
        <w:t>Lúa hè thu</w:t>
      </w:r>
    </w:p>
    <w:p w14:paraId="4407483A" w14:textId="77777777" w:rsidR="00C67D4D" w:rsidRPr="00306C05" w:rsidRDefault="00C67D4D" w:rsidP="00EF01E6">
      <w:pPr>
        <w:spacing w:after="120" w:line="264" w:lineRule="auto"/>
        <w:ind w:firstLine="720"/>
        <w:jc w:val="both"/>
        <w:rPr>
          <w:spacing w:val="-2"/>
        </w:rPr>
      </w:pPr>
      <w:r w:rsidRPr="000A74BB">
        <w:rPr>
          <w:spacing w:val="-2"/>
          <w:lang w:val="sv-SE"/>
        </w:rPr>
        <w:t xml:space="preserve">Tính đến ngày </w:t>
      </w:r>
      <w:r w:rsidRPr="00306C05">
        <w:rPr>
          <w:spacing w:val="-2"/>
        </w:rPr>
        <w:t xml:space="preserve">20/7/2025, cả nước gieo cấy được 1.893,9 nghìn ha lúa hè thu, giảm 7,4 nghìn ha so với cùng kỳ năm trước, trong đó: Các địa phương miền Bắc đạt 172,5 nghìn ha, giảm 1,5 nghìn ha; các địa phương miền Nam đạt 1.721,4 nghìn ha, giảm 5,9 nghìn ha. Một số địa phương có diện tích giảm nhiều so với cùng kỳ do chuyển một phần diện tích lúa sang cây trồng khác có hiệu quả kinh tế cao hơn: Đồng Tháp giảm 5,8 nghìn ha; Vĩnh Long giảm 1,7 nghìn ha; Cần Thơ giảm 1,6 nghìn ha. Hiện lúa hè thu đang thời kỳ sinh trưởng, phát triển tương đối tốt. Đến nay các địa phương miền Nam thu hoạch được 590,8 nghìn ha lúa hè thu sớm, chiếm 34,3% diện tích xuống giống và bằng 98,9% cùng kỳ năm 2024. </w:t>
      </w:r>
    </w:p>
    <w:p w14:paraId="666AAE30" w14:textId="147D7BC6" w:rsidR="00C67D4D" w:rsidRPr="000A74BB" w:rsidRDefault="00C67D4D" w:rsidP="008B5944">
      <w:pPr>
        <w:tabs>
          <w:tab w:val="left" w:pos="720"/>
        </w:tabs>
        <w:spacing w:after="120" w:line="252" w:lineRule="auto"/>
        <w:ind w:firstLine="720"/>
        <w:jc w:val="both"/>
        <w:rPr>
          <w:i/>
          <w:lang w:val="sv-SE"/>
        </w:rPr>
      </w:pPr>
      <w:r w:rsidRPr="000A74BB">
        <w:rPr>
          <w:i/>
          <w:lang w:val="sv-SE"/>
        </w:rPr>
        <w:lastRenderedPageBreak/>
        <w:t>Lúa thu đông</w:t>
      </w:r>
    </w:p>
    <w:p w14:paraId="25A94E77" w14:textId="44602143" w:rsidR="00C67D4D" w:rsidRPr="00306C05" w:rsidRDefault="00C67D4D" w:rsidP="008B5944">
      <w:pPr>
        <w:spacing w:after="120" w:line="252" w:lineRule="auto"/>
        <w:ind w:firstLine="720"/>
        <w:jc w:val="both"/>
      </w:pPr>
      <w:r w:rsidRPr="008B5944">
        <w:rPr>
          <w:lang w:val="sv-SE"/>
        </w:rPr>
        <w:t>Đến ngày 20/7/2025 các địa phương phía Nam gieo cấy được 313,4 nghìn ha lúa thu đông sớm, tăng 20,8 nghìn ha so với cùng kỳ năm trước, chủ yếu do một số địa phương tăng diện tích trên nền thu hoạch lúa hè thu sớm</w:t>
      </w:r>
      <w:r w:rsidR="00306C05">
        <w:rPr>
          <w:lang w:val="sv-SE"/>
        </w:rPr>
        <w:t>.</w:t>
      </w:r>
      <w:r w:rsidRPr="008B5944">
        <w:rPr>
          <w:lang w:val="sv-SE"/>
        </w:rPr>
        <w:t xml:space="preserve"> </w:t>
      </w:r>
      <w:r w:rsidR="00306C05">
        <w:rPr>
          <w:lang w:val="sv-SE"/>
        </w:rPr>
        <w:t>T</w:t>
      </w:r>
      <w:r w:rsidRPr="008B5944">
        <w:rPr>
          <w:lang w:val="sv-SE"/>
        </w:rPr>
        <w:t>rong đó</w:t>
      </w:r>
      <w:r w:rsidR="00306C05">
        <w:rPr>
          <w:lang w:val="sv-SE"/>
        </w:rPr>
        <w:t>,</w:t>
      </w:r>
      <w:r w:rsidRPr="008B5944">
        <w:rPr>
          <w:lang w:val="sv-SE"/>
        </w:rPr>
        <w:t xml:space="preserve"> An Giang đạt 104,6 nghìn ha, tăng 24,9 nghìn ha; Cần Thơ đạt 83,3 nghìn ha, tăng 12,5 nghìn ha; Tây Ninh đạt 40,0 nghìn ha, tăng 0,5 nghìn ha. </w:t>
      </w:r>
      <w:r w:rsidRPr="00306C05">
        <w:t xml:space="preserve">Hiện nay lúa thu đông đang giai đoạn đẻ nhánh, trổ đòng, sinh trưởng và phát triển tốt. </w:t>
      </w:r>
    </w:p>
    <w:p w14:paraId="6B33FBB3" w14:textId="77777777" w:rsidR="00C67D4D" w:rsidRPr="000A74BB" w:rsidRDefault="00C67D4D" w:rsidP="008B5944">
      <w:pPr>
        <w:shd w:val="clear" w:color="auto" w:fill="FFFFFF"/>
        <w:spacing w:after="120" w:line="252" w:lineRule="auto"/>
        <w:ind w:firstLine="720"/>
        <w:jc w:val="both"/>
        <w:rPr>
          <w:i/>
        </w:rPr>
      </w:pPr>
      <w:r w:rsidRPr="000A74BB">
        <w:rPr>
          <w:i/>
        </w:rPr>
        <w:t>Cây hằng năm</w:t>
      </w:r>
    </w:p>
    <w:p w14:paraId="444C0560" w14:textId="77777777" w:rsidR="00C67D4D" w:rsidRPr="000A74BB" w:rsidRDefault="00C67D4D" w:rsidP="008B5944">
      <w:pPr>
        <w:shd w:val="clear" w:color="auto" w:fill="FFFFFF"/>
        <w:spacing w:after="120" w:line="252" w:lineRule="auto"/>
        <w:ind w:firstLine="720"/>
        <w:jc w:val="both"/>
        <w:rPr>
          <w:rFonts w:ascii="Arial" w:hAnsi="Arial" w:cs="Arial"/>
          <w:b/>
          <w:lang w:val="de-DE"/>
        </w:rPr>
      </w:pPr>
      <w:r w:rsidRPr="000A74BB">
        <w:t xml:space="preserve">Cùng với gieo cấy lúa, </w:t>
      </w:r>
      <w:r w:rsidRPr="000A74BB">
        <w:rPr>
          <w:lang w:val="pl-PL"/>
        </w:rPr>
        <w:t>các địa phương trên cả nước đang tiến hành gieo trồng cây hoa màu</w:t>
      </w:r>
      <w:r w:rsidRPr="000A74BB">
        <w:t xml:space="preserve">. Tuy nhiên, diện tích một số cây hằng năm chủ yếu giảm so với cùng kỳ năm trước do hiệu quả kinh tế không cao. </w:t>
      </w:r>
    </w:p>
    <w:p w14:paraId="33771DC0" w14:textId="77777777" w:rsidR="00C67D4D" w:rsidRPr="000A74BB" w:rsidRDefault="00C67D4D" w:rsidP="00C67D4D">
      <w:pPr>
        <w:spacing w:before="120" w:after="40" w:line="271" w:lineRule="auto"/>
        <w:jc w:val="center"/>
        <w:rPr>
          <w:rFonts w:ascii="Arial" w:hAnsi="Arial" w:cs="Arial"/>
          <w:b/>
          <w:sz w:val="24"/>
          <w:szCs w:val="24"/>
          <w:lang w:val="de-DE"/>
        </w:rPr>
      </w:pPr>
      <w:r w:rsidRPr="000A74BB">
        <w:rPr>
          <w:rFonts w:ascii="Arial" w:hAnsi="Arial" w:cs="Arial"/>
          <w:b/>
          <w:sz w:val="24"/>
          <w:szCs w:val="24"/>
          <w:lang w:val="de-DE"/>
        </w:rPr>
        <w:t>Hình 1. Diện tích gieo trồng một số cây hằng năm</w:t>
      </w:r>
    </w:p>
    <w:p w14:paraId="7BBD1B79" w14:textId="77777777" w:rsidR="00C67D4D" w:rsidRPr="000A74BB" w:rsidRDefault="00C67D4D" w:rsidP="00C67D4D">
      <w:pPr>
        <w:pStyle w:val="Normal1"/>
        <w:tabs>
          <w:tab w:val="left" w:pos="7380"/>
        </w:tabs>
        <w:spacing w:before="60" w:beforeAutospacing="0" w:after="60" w:afterAutospacing="0" w:line="298" w:lineRule="auto"/>
        <w:jc w:val="center"/>
        <w:rPr>
          <w:rFonts w:ascii="Arial" w:hAnsi="Arial" w:cs="Arial"/>
          <w:bCs/>
          <w:i/>
          <w:iCs/>
          <w:lang w:val="vi-VN"/>
        </w:rPr>
      </w:pPr>
      <w:r w:rsidRPr="000A74BB">
        <w:rPr>
          <w:rFonts w:ascii="Arial" w:hAnsi="Arial" w:cs="Arial"/>
          <w:bCs/>
          <w:i/>
          <w:iCs/>
          <w:lang w:val="vi-VN"/>
        </w:rPr>
        <w:t xml:space="preserve">(Tính đến </w:t>
      </w:r>
      <w:r w:rsidRPr="000A74BB">
        <w:rPr>
          <w:rFonts w:ascii="Arial" w:hAnsi="Arial" w:cs="Arial"/>
          <w:bCs/>
          <w:i/>
          <w:iCs/>
        </w:rPr>
        <w:t>20/7/2025</w:t>
      </w:r>
      <w:r w:rsidRPr="000A74BB">
        <w:rPr>
          <w:rFonts w:ascii="Arial" w:hAnsi="Arial" w:cs="Arial"/>
          <w:bCs/>
          <w:i/>
          <w:iCs/>
          <w:lang w:val="vi-VN"/>
        </w:rPr>
        <w:t>)</w:t>
      </w:r>
    </w:p>
    <w:p w14:paraId="20D3F129" w14:textId="77777777" w:rsidR="00C67D4D" w:rsidRPr="000A74BB" w:rsidRDefault="00C67D4D" w:rsidP="00C67D4D">
      <w:pPr>
        <w:pStyle w:val="Normal1"/>
        <w:tabs>
          <w:tab w:val="left" w:pos="7380"/>
        </w:tabs>
        <w:spacing w:before="60" w:beforeAutospacing="0" w:after="60" w:afterAutospacing="0" w:line="297" w:lineRule="auto"/>
        <w:jc w:val="center"/>
        <w:rPr>
          <w:rFonts w:ascii="Arial" w:hAnsi="Arial" w:cs="Arial"/>
          <w:bCs/>
          <w:i/>
          <w:iCs/>
          <w:lang w:val="vi-VN"/>
        </w:rPr>
      </w:pPr>
      <w:r w:rsidRPr="000A74BB">
        <w:rPr>
          <w:noProof/>
        </w:rPr>
        <w:drawing>
          <wp:inline distT="0" distB="0" distL="0" distR="0" wp14:anchorId="77D4D3CD" wp14:editId="297E5D43">
            <wp:extent cx="5697220" cy="1844656"/>
            <wp:effectExtent l="0" t="0" r="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432" cy="1852172"/>
                    </a:xfrm>
                    <a:prstGeom prst="rect">
                      <a:avLst/>
                    </a:prstGeom>
                    <a:noFill/>
                    <a:ln>
                      <a:noFill/>
                    </a:ln>
                  </pic:spPr>
                </pic:pic>
              </a:graphicData>
            </a:graphic>
          </wp:inline>
        </w:drawing>
      </w:r>
    </w:p>
    <w:p w14:paraId="4FE20AEF" w14:textId="77777777" w:rsidR="00C67D4D" w:rsidRPr="000A74BB" w:rsidRDefault="00C67D4D" w:rsidP="00EF01E6">
      <w:pPr>
        <w:spacing w:after="120" w:line="264" w:lineRule="auto"/>
        <w:ind w:firstLine="720"/>
        <w:jc w:val="both"/>
        <w:rPr>
          <w:b/>
          <w:lang w:val="de-DE"/>
        </w:rPr>
      </w:pPr>
      <w:r w:rsidRPr="00306C05">
        <w:rPr>
          <w:i/>
          <w:lang w:val="vi-VN"/>
        </w:rPr>
        <w:t>Chăn nuôi</w:t>
      </w:r>
    </w:p>
    <w:p w14:paraId="2DCA6371" w14:textId="38854AB9" w:rsidR="00C67D4D" w:rsidRPr="000A74BB" w:rsidRDefault="00C67D4D" w:rsidP="00EF01E6">
      <w:pPr>
        <w:tabs>
          <w:tab w:val="left" w:pos="900"/>
        </w:tabs>
        <w:spacing w:after="120" w:line="264" w:lineRule="auto"/>
        <w:ind w:firstLine="720"/>
        <w:jc w:val="both"/>
        <w:rPr>
          <w:lang w:val="af-ZA"/>
        </w:rPr>
      </w:pPr>
      <w:r w:rsidRPr="000A74BB">
        <w:rPr>
          <w:lang w:val="de-DE"/>
        </w:rPr>
        <w:t xml:space="preserve">Chăn nuôi trâu, bò tiếp tục xu hướng giảm </w:t>
      </w:r>
      <w:r w:rsidRPr="000A74BB">
        <w:rPr>
          <w:rStyle w:val="normalchar"/>
          <w:lang w:val="af-ZA"/>
        </w:rPr>
        <w:t>chủ yếu</w:t>
      </w:r>
      <w:r w:rsidRPr="000A74BB">
        <w:rPr>
          <w:lang w:val="af-ZA"/>
        </w:rPr>
        <w:t xml:space="preserve"> do thiếu hụt nguồn thức ăn thô xanh, chi phí đầu vào tăng cao, trong khi giá đầu ra không ổn định, khiến người chăn nuôi phải thu hẹp quy mô hoặc chuyển đổi hình thức sản xuất. Chăn nuôi lợn gặp khó khăn do</w:t>
      </w:r>
      <w:r w:rsidRPr="000A74BB" w:rsidDel="00F1642F">
        <w:rPr>
          <w:bCs/>
          <w:lang w:val="af-ZA"/>
        </w:rPr>
        <w:t xml:space="preserve"> </w:t>
      </w:r>
      <w:r w:rsidRPr="000A74BB">
        <w:rPr>
          <w:bCs/>
          <w:lang w:val="af-ZA"/>
        </w:rPr>
        <w:t>bệnh dịch tả lợn châu Phi</w:t>
      </w:r>
      <w:r w:rsidRPr="000A74BB">
        <w:rPr>
          <w:lang w:val="af-ZA"/>
        </w:rPr>
        <w:t xml:space="preserve"> diễn biến phức tạp, cả nước phát sinh 571 ổ dịch với số lợn chết và tiêu hủy trong tháng gần 73,5 nghìn con, chủ yếu bùng phát tại các hộ chăn nuôi nhỏ lẻ và tái phát từ ổ dịch cũ. Hiện nay, các địa phương đang tập trung triển khai quyết liệt các biện pháp nhằm phòng, chống và kiểm soát hiệu quả dịch bệnh. Chăn nuôi gia cầm phát triển ổn định nhờ chi phí đầu tư thấp, tận dụng được nguồn thức ăn sẵn có, nhu cầu tiêu dùng thịt, trứng gia cầm trên thị trường ổn định.</w:t>
      </w:r>
    </w:p>
    <w:p w14:paraId="121165CA" w14:textId="704B945F" w:rsidR="00EF01E6" w:rsidRPr="00306C05" w:rsidRDefault="00EF01E6" w:rsidP="00EF01E6">
      <w:pPr>
        <w:tabs>
          <w:tab w:val="left" w:pos="720"/>
        </w:tabs>
        <w:spacing w:after="120" w:line="276" w:lineRule="auto"/>
        <w:ind w:firstLine="720"/>
        <w:jc w:val="both"/>
        <w:rPr>
          <w:lang w:val="af-ZA"/>
        </w:rPr>
      </w:pPr>
      <w:r w:rsidRPr="00306C05">
        <w:rPr>
          <w:lang w:val="af-ZA"/>
        </w:rPr>
        <w:t xml:space="preserve">Tính đến ngày 31/7/2025, </w:t>
      </w:r>
      <w:r w:rsidRPr="000A74BB">
        <w:rPr>
          <w:iCs/>
          <w:lang w:val="es-AR"/>
        </w:rPr>
        <w:t xml:space="preserve">cả nước không còn dịch tai xanh; </w:t>
      </w:r>
      <w:r w:rsidRPr="00306C05">
        <w:rPr>
          <w:lang w:val="af-ZA"/>
        </w:rPr>
        <w:t>dịch cúm gia cầm còn ở Nghệ An; dịch viêm da nổi cục còn ở Đắk Lắk, Đồng Tháp</w:t>
      </w:r>
      <w:r w:rsidR="00523D54">
        <w:rPr>
          <w:lang w:val="af-ZA"/>
        </w:rPr>
        <w:t>; dịch lở mồm long móng còn ở Đắk Lắk</w:t>
      </w:r>
      <w:r w:rsidRPr="00306C05">
        <w:rPr>
          <w:lang w:val="af-ZA"/>
        </w:rPr>
        <w:t xml:space="preserve"> và dịch tả lợn châu Phi còn ở 31 địa phương</w:t>
      </w:r>
      <w:r w:rsidRPr="000A74BB">
        <w:rPr>
          <w:rStyle w:val="FootnoteReference"/>
        </w:rPr>
        <w:footnoteReference w:id="1"/>
      </w:r>
      <w:r w:rsidRPr="00306C05">
        <w:rPr>
          <w:lang w:val="af-ZA"/>
        </w:rPr>
        <w:t xml:space="preserve"> chưa qua 21 ngày. </w:t>
      </w:r>
    </w:p>
    <w:p w14:paraId="4855C01D" w14:textId="78DE976A" w:rsidR="00C67D4D" w:rsidRPr="000A74BB" w:rsidRDefault="00C67D4D" w:rsidP="00EF01E6">
      <w:pPr>
        <w:tabs>
          <w:tab w:val="left" w:pos="900"/>
        </w:tabs>
        <w:spacing w:after="40"/>
        <w:jc w:val="center"/>
        <w:rPr>
          <w:rFonts w:ascii="Arial" w:hAnsi="Arial" w:cs="Arial"/>
          <w:b/>
          <w:sz w:val="24"/>
          <w:lang w:val="es-AR"/>
        </w:rPr>
      </w:pPr>
      <w:r w:rsidRPr="000A74BB">
        <w:rPr>
          <w:rFonts w:ascii="Arial" w:hAnsi="Arial" w:cs="Arial"/>
          <w:b/>
          <w:sz w:val="24"/>
          <w:lang w:val="es-AR"/>
        </w:rPr>
        <w:lastRenderedPageBreak/>
        <w:t>Hình 2. Tốc độ tăng</w:t>
      </w:r>
      <w:r w:rsidR="00306C05">
        <w:rPr>
          <w:rFonts w:ascii="Arial" w:hAnsi="Arial" w:cs="Arial"/>
          <w:b/>
          <w:sz w:val="24"/>
          <w:lang w:val="es-AR"/>
        </w:rPr>
        <w:t xml:space="preserve">, </w:t>
      </w:r>
      <w:r w:rsidRPr="000A74BB">
        <w:rPr>
          <w:rFonts w:ascii="Arial" w:hAnsi="Arial" w:cs="Arial"/>
          <w:b/>
          <w:sz w:val="24"/>
          <w:lang w:val="es-AR"/>
        </w:rPr>
        <w:t>giảm số lượng gia súc, gia cầm</w:t>
      </w:r>
    </w:p>
    <w:p w14:paraId="1CB7FF1D" w14:textId="7CA72D9D" w:rsidR="00C67D4D" w:rsidRPr="000A74BB" w:rsidRDefault="00C67D4D" w:rsidP="00EF01E6">
      <w:pPr>
        <w:spacing w:after="120"/>
        <w:jc w:val="center"/>
        <w:rPr>
          <w:rFonts w:ascii="Arial" w:hAnsi="Arial" w:cs="Arial"/>
          <w:b/>
          <w:sz w:val="24"/>
          <w:lang w:val="es-AR"/>
        </w:rPr>
      </w:pPr>
      <w:r w:rsidRPr="000A74BB">
        <w:rPr>
          <w:rFonts w:ascii="Arial" w:hAnsi="Arial" w:cs="Arial"/>
          <w:b/>
          <w:sz w:val="24"/>
          <w:lang w:val="es-AR"/>
        </w:rPr>
        <w:t>cuối tháng 7/2025 so với cùng thời điểm năm trước</w:t>
      </w:r>
    </w:p>
    <w:p w14:paraId="59C2C88F" w14:textId="77777777" w:rsidR="00C67D4D" w:rsidRPr="000A74BB" w:rsidRDefault="00C67D4D" w:rsidP="00C67D4D">
      <w:pPr>
        <w:spacing w:after="120"/>
        <w:jc w:val="center"/>
        <w:rPr>
          <w:rFonts w:ascii="Arial" w:hAnsi="Arial" w:cs="Arial"/>
          <w:b/>
          <w:sz w:val="24"/>
          <w:lang w:val="es-AR"/>
        </w:rPr>
      </w:pPr>
      <w:r w:rsidRPr="000A74BB">
        <w:rPr>
          <w:noProof/>
        </w:rPr>
        <w:drawing>
          <wp:inline distT="0" distB="0" distL="0" distR="0" wp14:anchorId="165F4DE2" wp14:editId="21A7BACA">
            <wp:extent cx="5708393" cy="1533525"/>
            <wp:effectExtent l="0" t="0" r="6985" b="0"/>
            <wp:docPr id="4" name="Picture 4"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arison of a pair of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799" cy="1534171"/>
                    </a:xfrm>
                    <a:prstGeom prst="rect">
                      <a:avLst/>
                    </a:prstGeom>
                    <a:noFill/>
                    <a:ln>
                      <a:noFill/>
                    </a:ln>
                  </pic:spPr>
                </pic:pic>
              </a:graphicData>
            </a:graphic>
          </wp:inline>
        </w:drawing>
      </w:r>
    </w:p>
    <w:p w14:paraId="3E59C011" w14:textId="77777777" w:rsidR="00C67D4D" w:rsidRPr="000A74BB" w:rsidRDefault="00C67D4D" w:rsidP="00EF01E6">
      <w:pPr>
        <w:spacing w:after="120" w:line="264" w:lineRule="auto"/>
        <w:ind w:firstLine="720"/>
        <w:jc w:val="both"/>
        <w:rPr>
          <w:b/>
          <w:i/>
          <w:iCs/>
          <w:lang w:val="de-DE"/>
        </w:rPr>
      </w:pPr>
      <w:r w:rsidRPr="000A74BB">
        <w:rPr>
          <w:b/>
          <w:i/>
          <w:iCs/>
          <w:lang w:val="de-DE"/>
        </w:rPr>
        <w:t>b) Lâm nghiệp</w:t>
      </w:r>
    </w:p>
    <w:p w14:paraId="142A2CE9" w14:textId="0E63A729" w:rsidR="00C67D4D" w:rsidRPr="000A74BB" w:rsidRDefault="00C67D4D" w:rsidP="00EF01E6">
      <w:pPr>
        <w:spacing w:after="120" w:line="264" w:lineRule="auto"/>
        <w:ind w:firstLine="720"/>
        <w:jc w:val="both"/>
        <w:rPr>
          <w:spacing w:val="-2"/>
          <w:lang w:val="de-DE"/>
        </w:rPr>
      </w:pPr>
      <w:r w:rsidRPr="000A74BB">
        <w:rPr>
          <w:spacing w:val="-2"/>
          <w:lang w:val="de-DE"/>
        </w:rPr>
        <w:t xml:space="preserve">Diện tích rừng trồng mới tập trung cả nước tháng </w:t>
      </w:r>
      <w:r w:rsidR="00BD5E18">
        <w:rPr>
          <w:spacing w:val="-2"/>
          <w:lang w:val="de-DE"/>
        </w:rPr>
        <w:t>Bảy</w:t>
      </w:r>
      <w:r w:rsidRPr="000A74BB">
        <w:rPr>
          <w:spacing w:val="-2"/>
          <w:lang w:val="de-DE"/>
        </w:rPr>
        <w:t xml:space="preserve"> ước đạt 13,5 nghìn ha, giảm 1,6% so với cùng kỳ năm trước; số cây lâm nghiệp trồng phân tán đạt 5,3 triệu cây, giảm 2,4%; sản lượng gỗ khai thác đạt 2.107,5 nghìn m</w:t>
      </w:r>
      <w:r w:rsidRPr="000A74BB">
        <w:rPr>
          <w:spacing w:val="-2"/>
          <w:vertAlign w:val="superscript"/>
          <w:lang w:val="de-DE"/>
        </w:rPr>
        <w:t>3</w:t>
      </w:r>
      <w:r w:rsidRPr="000A74BB">
        <w:rPr>
          <w:spacing w:val="-2"/>
          <w:lang w:val="de-DE"/>
        </w:rPr>
        <w:t>, tăng 5,9% do nhiều địa phương khai thác rừng trồng đến kỳ thu hoạch</w:t>
      </w:r>
      <w:r w:rsidRPr="000A74BB">
        <w:rPr>
          <w:spacing w:val="-2"/>
          <w:vertAlign w:val="superscript"/>
          <w:lang w:val="de-DE"/>
        </w:rPr>
        <w:footnoteReference w:id="2"/>
      </w:r>
      <w:r w:rsidRPr="000A74BB">
        <w:rPr>
          <w:spacing w:val="-2"/>
          <w:lang w:val="de-DE"/>
        </w:rPr>
        <w:t>. Tính chung bảy tháng năm 2025, diện tích rừng trồng mới tập trung ước đạt 164,4 nghìn ha, tăng 15,1% so với cùng kỳ năm trước; số cây lâm nghiệp trồng phân tán đạt 53,9 triệu cây, tăng 2,1%; sản lượng gỗ khai thác đạt 13,2 triệu m</w:t>
      </w:r>
      <w:r w:rsidRPr="000A74BB">
        <w:rPr>
          <w:spacing w:val="-2"/>
          <w:vertAlign w:val="superscript"/>
          <w:lang w:val="de-DE"/>
        </w:rPr>
        <w:t>3</w:t>
      </w:r>
      <w:r w:rsidRPr="000A74BB">
        <w:rPr>
          <w:spacing w:val="-2"/>
          <w:lang w:val="de-DE"/>
        </w:rPr>
        <w:t>, tăng 7,6%.</w:t>
      </w:r>
    </w:p>
    <w:p w14:paraId="3109AD3A" w14:textId="77777777" w:rsidR="00C67D4D" w:rsidRPr="000A74BB" w:rsidRDefault="00C67D4D" w:rsidP="00EF01E6">
      <w:pPr>
        <w:spacing w:after="120" w:line="264" w:lineRule="auto"/>
        <w:ind w:firstLine="720"/>
        <w:jc w:val="both"/>
        <w:rPr>
          <w:spacing w:val="-4"/>
          <w:lang w:val="de-DE"/>
        </w:rPr>
      </w:pPr>
      <w:r w:rsidRPr="000A74BB">
        <w:rPr>
          <w:spacing w:val="-4"/>
          <w:lang w:val="de-DE"/>
        </w:rPr>
        <w:t>Diện tích rừng bị thiệt hại</w:t>
      </w:r>
      <w:r w:rsidRPr="000A74BB">
        <w:rPr>
          <w:spacing w:val="-4"/>
          <w:vertAlign w:val="superscript"/>
          <w:lang w:val="de-DE"/>
        </w:rPr>
        <w:footnoteReference w:id="3"/>
      </w:r>
      <w:r w:rsidRPr="000A74BB">
        <w:rPr>
          <w:spacing w:val="-4"/>
          <w:lang w:val="de-DE"/>
        </w:rPr>
        <w:t xml:space="preserve"> trong tháng là 72,5 ha, giảm 9,9% so với cùng kỳ năm trước, trong đó rừng bị chặt, phá là 58,7 ha, tăng 18,2%; diện tích rừng bị cháy là 13,8 ha, giảm 55,1%. Tính chung bảy tháng năm 2025, diện tích rừng bị thiệt hại là 928,8 ha, giảm 28,7% so với cùng kỳ năm trước, trong đó diện tích rừng bị chặt, phá là 631,8 ha, tăng 7,5%; diện tích rừng bị cháy là 297,0 ha, giảm 58,5%.</w:t>
      </w:r>
    </w:p>
    <w:p w14:paraId="5B4767F4" w14:textId="77777777" w:rsidR="00C67D4D" w:rsidRPr="000A74BB" w:rsidRDefault="00C67D4D" w:rsidP="00EF01E6">
      <w:pPr>
        <w:spacing w:after="120" w:line="264" w:lineRule="auto"/>
        <w:ind w:firstLine="720"/>
        <w:jc w:val="both"/>
        <w:rPr>
          <w:b/>
          <w:bCs/>
          <w:i/>
          <w:lang w:val="de-DE"/>
        </w:rPr>
      </w:pPr>
      <w:r w:rsidRPr="000A74BB">
        <w:rPr>
          <w:b/>
          <w:bCs/>
          <w:i/>
          <w:lang w:val="de-DE"/>
        </w:rPr>
        <w:t>c) Thủy sản</w:t>
      </w:r>
    </w:p>
    <w:p w14:paraId="5D6BEC55" w14:textId="201087DE" w:rsidR="00C67D4D" w:rsidRPr="000A74BB" w:rsidRDefault="00C67D4D" w:rsidP="00EF01E6">
      <w:pPr>
        <w:spacing w:after="120" w:line="264" w:lineRule="auto"/>
        <w:ind w:firstLine="720"/>
        <w:jc w:val="both"/>
        <w:rPr>
          <w:lang w:val="de-DE"/>
        </w:rPr>
      </w:pPr>
      <w:r w:rsidRPr="000A74BB">
        <w:rPr>
          <w:lang w:val="de-DE"/>
        </w:rPr>
        <w:t xml:space="preserve">Sản lượng thủy sản </w:t>
      </w:r>
      <w:r w:rsidR="00BD5E18">
        <w:rPr>
          <w:lang w:val="de-DE"/>
        </w:rPr>
        <w:t>tháng Bảy</w:t>
      </w:r>
      <w:r w:rsidRPr="000A74BB">
        <w:rPr>
          <w:lang w:val="de-DE"/>
        </w:rPr>
        <w:t xml:space="preserve"> ước đạt </w:t>
      </w:r>
      <w:r w:rsidRPr="00306C05">
        <w:rPr>
          <w:lang w:val="de-DE"/>
        </w:rPr>
        <w:t>949,</w:t>
      </w:r>
      <w:r w:rsidRPr="000A74BB">
        <w:rPr>
          <w:lang w:val="vi-VN"/>
        </w:rPr>
        <w:t>3</w:t>
      </w:r>
      <w:r w:rsidRPr="00306C05">
        <w:rPr>
          <w:lang w:val="de-DE"/>
        </w:rPr>
        <w:t xml:space="preserve"> nghìn tấn, tăng 3,0% </w:t>
      </w:r>
      <w:r w:rsidRPr="000A74BB">
        <w:rPr>
          <w:lang w:val="de-DE"/>
        </w:rPr>
        <w:t xml:space="preserve"> so với cùng kỳ năm trước, bao gồm: Cá đạt </w:t>
      </w:r>
      <w:r w:rsidRPr="00306C05">
        <w:rPr>
          <w:lang w:val="de-DE"/>
        </w:rPr>
        <w:t>644</w:t>
      </w:r>
      <w:r w:rsidRPr="000A74BB">
        <w:rPr>
          <w:lang w:val="vi-VN"/>
        </w:rPr>
        <w:t>,0</w:t>
      </w:r>
      <w:r w:rsidRPr="00306C05">
        <w:rPr>
          <w:lang w:val="de-DE"/>
        </w:rPr>
        <w:t xml:space="preserve"> nghìn tấn, tăng 2,</w:t>
      </w:r>
      <w:r w:rsidRPr="000A74BB">
        <w:rPr>
          <w:lang w:val="vi-VN"/>
        </w:rPr>
        <w:t>4</w:t>
      </w:r>
      <w:r w:rsidRPr="00306C05">
        <w:rPr>
          <w:lang w:val="de-DE"/>
        </w:rPr>
        <w:t>%</w:t>
      </w:r>
      <w:r w:rsidRPr="000A74BB">
        <w:rPr>
          <w:lang w:val="de-DE"/>
        </w:rPr>
        <w:t xml:space="preserve">; tôm đạt </w:t>
      </w:r>
      <w:r w:rsidRPr="00306C05">
        <w:rPr>
          <w:lang w:val="de-DE"/>
        </w:rPr>
        <w:t>188</w:t>
      </w:r>
      <w:r w:rsidRPr="000A74BB">
        <w:rPr>
          <w:lang w:val="vi-VN"/>
        </w:rPr>
        <w:t>,0</w:t>
      </w:r>
      <w:r w:rsidRPr="00306C05">
        <w:rPr>
          <w:lang w:val="de-DE"/>
        </w:rPr>
        <w:t xml:space="preserve"> nghìn tấn, tăng 5,</w:t>
      </w:r>
      <w:r w:rsidRPr="000A74BB">
        <w:rPr>
          <w:lang w:val="vi-VN"/>
        </w:rPr>
        <w:t>7</w:t>
      </w:r>
      <w:r w:rsidRPr="00306C05">
        <w:rPr>
          <w:lang w:val="de-DE"/>
        </w:rPr>
        <w:t>%</w:t>
      </w:r>
      <w:r w:rsidRPr="000A74BB">
        <w:rPr>
          <w:lang w:val="de-DE"/>
        </w:rPr>
        <w:t>; thủy sản khác đạt 117,3 nghìn tấn, tăng 2,1%.</w:t>
      </w:r>
    </w:p>
    <w:p w14:paraId="105659EA" w14:textId="77777777" w:rsidR="00C67D4D" w:rsidRPr="000A74BB" w:rsidRDefault="00C67D4D" w:rsidP="00EF01E6">
      <w:pPr>
        <w:spacing w:after="120" w:line="264" w:lineRule="auto"/>
        <w:ind w:firstLine="720"/>
        <w:jc w:val="both"/>
        <w:rPr>
          <w:lang w:val="de-DE"/>
        </w:rPr>
      </w:pPr>
      <w:r w:rsidRPr="000A74BB">
        <w:rPr>
          <w:lang w:val="de-DE"/>
        </w:rPr>
        <w:t xml:space="preserve">Sản lượng thủy sản nuôi trồng trong tháng ước đạt </w:t>
      </w:r>
      <w:r w:rsidRPr="00306C05">
        <w:rPr>
          <w:lang w:val="de-DE"/>
        </w:rPr>
        <w:t>603,</w:t>
      </w:r>
      <w:r w:rsidRPr="000A74BB">
        <w:rPr>
          <w:lang w:val="vi-VN"/>
        </w:rPr>
        <w:t>3</w:t>
      </w:r>
      <w:r w:rsidRPr="00306C05">
        <w:rPr>
          <w:lang w:val="de-DE"/>
        </w:rPr>
        <w:t xml:space="preserve"> nghìn tấn, tăng 5,</w:t>
      </w:r>
      <w:r w:rsidRPr="000A74BB">
        <w:rPr>
          <w:lang w:val="vi-VN"/>
        </w:rPr>
        <w:t>1</w:t>
      </w:r>
      <w:r w:rsidRPr="00306C05">
        <w:rPr>
          <w:lang w:val="de-DE"/>
        </w:rPr>
        <w:t>%</w:t>
      </w:r>
      <w:r w:rsidRPr="000A74BB">
        <w:rPr>
          <w:lang w:val="de-DE"/>
        </w:rPr>
        <w:t xml:space="preserve"> so với cùng kỳ năm trước, trong đó: Cá đạt</w:t>
      </w:r>
      <w:r w:rsidRPr="00306C05">
        <w:rPr>
          <w:lang w:val="de-DE"/>
        </w:rPr>
        <w:t xml:space="preserve"> 368</w:t>
      </w:r>
      <w:r w:rsidRPr="000A74BB">
        <w:rPr>
          <w:lang w:val="vi-VN"/>
        </w:rPr>
        <w:t>,9</w:t>
      </w:r>
      <w:r w:rsidRPr="00306C05">
        <w:rPr>
          <w:lang w:val="de-DE"/>
        </w:rPr>
        <w:t xml:space="preserve"> nghìn tấn, tăng 4,</w:t>
      </w:r>
      <w:r w:rsidRPr="000A74BB">
        <w:rPr>
          <w:lang w:val="vi-VN"/>
        </w:rPr>
        <w:t>5</w:t>
      </w:r>
      <w:r w:rsidRPr="00306C05">
        <w:rPr>
          <w:lang w:val="de-DE"/>
        </w:rPr>
        <w:t>%; tôm đạt 176</w:t>
      </w:r>
      <w:r w:rsidRPr="000A74BB">
        <w:rPr>
          <w:lang w:val="vi-VN"/>
        </w:rPr>
        <w:t>,6</w:t>
      </w:r>
      <w:r w:rsidRPr="00306C05">
        <w:rPr>
          <w:lang w:val="de-DE"/>
        </w:rPr>
        <w:t xml:space="preserve"> nghìn tấn, tăng </w:t>
      </w:r>
      <w:r w:rsidRPr="000A74BB">
        <w:rPr>
          <w:lang w:val="vi-VN"/>
        </w:rPr>
        <w:t>6,2</w:t>
      </w:r>
      <w:r w:rsidRPr="00306C05">
        <w:rPr>
          <w:lang w:val="de-DE"/>
        </w:rPr>
        <w:t>%</w:t>
      </w:r>
      <w:r w:rsidRPr="000A74BB">
        <w:rPr>
          <w:lang w:val="de-DE"/>
        </w:rPr>
        <w:t>.</w:t>
      </w:r>
    </w:p>
    <w:p w14:paraId="5BC42219" w14:textId="14DF8122" w:rsidR="00C67D4D" w:rsidRPr="000A74BB" w:rsidRDefault="00C67D4D" w:rsidP="00EF01E6">
      <w:pPr>
        <w:spacing w:after="120" w:line="264" w:lineRule="auto"/>
        <w:ind w:firstLine="720"/>
        <w:jc w:val="both"/>
        <w:rPr>
          <w:lang w:val="de-DE"/>
        </w:rPr>
      </w:pPr>
      <w:r w:rsidRPr="000A74BB">
        <w:rPr>
          <w:lang w:val="de-DE"/>
        </w:rPr>
        <w:t xml:space="preserve">Sản lượng thu hoạch cá tra trong tháng tăng so với cùng kỳ năm trước do hộ nuôi duy trì ổn định về diện tích và sản lượng, </w:t>
      </w:r>
      <w:r w:rsidRPr="00306C05">
        <w:rPr>
          <w:lang w:val="de-DE"/>
        </w:rPr>
        <w:t>cá tra nguyên liệu đến thời kỳ thu hoạch.</w:t>
      </w:r>
      <w:r w:rsidRPr="000A74BB">
        <w:rPr>
          <w:lang w:val="de-DE"/>
        </w:rPr>
        <w:t xml:space="preserve"> Sản lượng cá tra trong tháng ước đạt </w:t>
      </w:r>
      <w:r w:rsidRPr="00306C05">
        <w:rPr>
          <w:lang w:val="de-DE"/>
        </w:rPr>
        <w:t>165</w:t>
      </w:r>
      <w:r w:rsidRPr="000A74BB">
        <w:rPr>
          <w:lang w:val="vi-VN"/>
        </w:rPr>
        <w:t>,0</w:t>
      </w:r>
      <w:r w:rsidRPr="00306C05">
        <w:rPr>
          <w:lang w:val="de-DE"/>
        </w:rPr>
        <w:t xml:space="preserve"> nghìn tấn, tăng </w:t>
      </w:r>
      <w:r w:rsidRPr="000A74BB">
        <w:rPr>
          <w:lang w:val="vi-VN"/>
        </w:rPr>
        <w:t>3,8</w:t>
      </w:r>
      <w:r w:rsidRPr="00306C05">
        <w:rPr>
          <w:lang w:val="de-DE"/>
        </w:rPr>
        <w:t>%</w:t>
      </w:r>
      <w:r w:rsidRPr="000A74BB">
        <w:rPr>
          <w:lang w:val="de-DE"/>
        </w:rPr>
        <w:t xml:space="preserve"> so với cùng kỳ năm trước.</w:t>
      </w:r>
    </w:p>
    <w:p w14:paraId="0E5D0CD9" w14:textId="6B2AA6E7" w:rsidR="00C67D4D" w:rsidRPr="000A74BB" w:rsidRDefault="00C67D4D" w:rsidP="008B5944">
      <w:pPr>
        <w:spacing w:after="120" w:line="252" w:lineRule="auto"/>
        <w:ind w:firstLine="720"/>
        <w:jc w:val="both"/>
        <w:rPr>
          <w:lang w:val="de-DE"/>
        </w:rPr>
      </w:pPr>
      <w:r w:rsidRPr="000A74BB">
        <w:rPr>
          <w:lang w:val="de-DE"/>
        </w:rPr>
        <w:lastRenderedPageBreak/>
        <w:t xml:space="preserve">Sản lượng tôm trong tháng tăng so với cùng kỳ năm trước do giá tôm sú vẫn duy </w:t>
      </w:r>
      <w:r w:rsidR="000A1904">
        <w:rPr>
          <w:lang w:val="de-DE"/>
        </w:rPr>
        <w:t xml:space="preserve">trì </w:t>
      </w:r>
      <w:r w:rsidRPr="000A74BB">
        <w:rPr>
          <w:lang w:val="de-DE"/>
        </w:rPr>
        <w:t>mức cao và ổn định, giá tôm thẻ chân trắng tiếp tục tăng</w:t>
      </w:r>
      <w:r w:rsidRPr="000A74BB">
        <w:rPr>
          <w:vertAlign w:val="superscript"/>
          <w:lang w:val="de-DE"/>
        </w:rPr>
        <w:footnoteReference w:id="4"/>
      </w:r>
      <w:r w:rsidRPr="000A74BB">
        <w:rPr>
          <w:lang w:val="de-DE"/>
        </w:rPr>
        <w:t xml:space="preserve">. Sản lượng tôm thẻ chân trắng tháng </w:t>
      </w:r>
      <w:r w:rsidR="00BD5E18">
        <w:rPr>
          <w:lang w:val="de-DE"/>
        </w:rPr>
        <w:t xml:space="preserve">Bảy </w:t>
      </w:r>
      <w:r w:rsidRPr="000A74BB">
        <w:rPr>
          <w:lang w:val="de-DE"/>
        </w:rPr>
        <w:t xml:space="preserve">ước đạt </w:t>
      </w:r>
      <w:r w:rsidRPr="00306C05">
        <w:rPr>
          <w:lang w:val="de-DE"/>
        </w:rPr>
        <w:t>139,2 nghìn tấn, tăng 7,0</w:t>
      </w:r>
      <w:r w:rsidRPr="000A74BB">
        <w:rPr>
          <w:lang w:val="de-DE"/>
        </w:rPr>
        <w:t>% so với cùng kỳ năm trước; sản lượng tôm sú đạt 30,0 nghìn tấn, tăng 2,9%.</w:t>
      </w:r>
    </w:p>
    <w:p w14:paraId="22C2ACA9" w14:textId="77777777" w:rsidR="00C67D4D" w:rsidRPr="000A74BB" w:rsidRDefault="00C67D4D" w:rsidP="008B5944">
      <w:pPr>
        <w:spacing w:after="120" w:line="252" w:lineRule="auto"/>
        <w:ind w:firstLine="720"/>
        <w:jc w:val="both"/>
        <w:rPr>
          <w:lang w:val="de-DE"/>
        </w:rPr>
      </w:pPr>
      <w:r w:rsidRPr="000A74BB">
        <w:rPr>
          <w:lang w:val="de-DE"/>
        </w:rPr>
        <w:t xml:space="preserve">Sản lượng thủy sản khai thác trong tháng ước đạt </w:t>
      </w:r>
      <w:r w:rsidRPr="00306C05">
        <w:rPr>
          <w:lang w:val="de-DE"/>
        </w:rPr>
        <w:t xml:space="preserve">346,0 nghìn tấn, giảm 0,3% </w:t>
      </w:r>
      <w:r w:rsidRPr="000A74BB">
        <w:rPr>
          <w:lang w:val="de-DE"/>
        </w:rPr>
        <w:t xml:space="preserve">so với cùng kỳ năm trước, trong đó: Cá đạt </w:t>
      </w:r>
      <w:r w:rsidRPr="00306C05">
        <w:rPr>
          <w:lang w:val="de-DE"/>
        </w:rPr>
        <w:t>275,1 nghìn tấn, giảm 0,3%; tôm đạt 11,4 nghìn tấn, giảm 0,9%; thủy sản khác đạt 59,5 nghìn tấn, giảm 0,5%</w:t>
      </w:r>
      <w:r w:rsidRPr="000A74BB">
        <w:rPr>
          <w:lang w:val="de-DE"/>
        </w:rPr>
        <w:t xml:space="preserve"> do ảnh hưởng của cơn bão số 3 khiến tàu, thuyền không thể ra khơi làm giảm sản lượng đánh bắt. Sản lượng thủy sản khai thác biển ước đạt </w:t>
      </w:r>
      <w:r w:rsidRPr="00306C05">
        <w:rPr>
          <w:lang w:val="de-DE"/>
        </w:rPr>
        <w:t xml:space="preserve">333,2 nghìn tấn, giảm 0,3% </w:t>
      </w:r>
      <w:r w:rsidRPr="000A74BB">
        <w:rPr>
          <w:lang w:val="de-DE"/>
        </w:rPr>
        <w:t xml:space="preserve">so với cùng kỳ năm trước, trong đó: Cá đạt </w:t>
      </w:r>
      <w:r w:rsidRPr="00306C05">
        <w:rPr>
          <w:lang w:val="de-DE"/>
        </w:rPr>
        <w:t>265,0 nghìn tấn, giảm 0,3%; tôm đạt 10,6 nghìn tấn, giảm 0,9%</w:t>
      </w:r>
      <w:r w:rsidRPr="000A74BB">
        <w:rPr>
          <w:lang w:val="de-DE"/>
        </w:rPr>
        <w:t>; thủy sản khác đạt 57,6 nghìn tấn, giảm 0,3%.</w:t>
      </w:r>
    </w:p>
    <w:p w14:paraId="2166A258" w14:textId="77777777" w:rsidR="00C67D4D" w:rsidRPr="000A74BB" w:rsidRDefault="00C67D4D" w:rsidP="00C67D4D">
      <w:pPr>
        <w:spacing w:before="120" w:after="40"/>
        <w:jc w:val="center"/>
        <w:rPr>
          <w:lang w:val="af-ZA"/>
        </w:rPr>
      </w:pPr>
      <w:r w:rsidRPr="000A74BB">
        <w:rPr>
          <w:rFonts w:ascii="Arial" w:hAnsi="Arial" w:cs="Arial"/>
          <w:b/>
          <w:bCs/>
          <w:sz w:val="24"/>
          <w:szCs w:val="24"/>
          <w:lang w:val="de-DE"/>
        </w:rPr>
        <w:t>Hình 3. Sản lượng thủy sản 7 tháng năm 2025</w:t>
      </w:r>
    </w:p>
    <w:p w14:paraId="796EC05D" w14:textId="77777777" w:rsidR="00C67D4D" w:rsidRPr="000A74BB" w:rsidRDefault="00C67D4D" w:rsidP="00C67D4D">
      <w:pPr>
        <w:shd w:val="clear" w:color="auto" w:fill="FFFFFF"/>
        <w:tabs>
          <w:tab w:val="left" w:pos="9360"/>
        </w:tabs>
        <w:jc w:val="center"/>
        <w:rPr>
          <w:rFonts w:ascii="Arial" w:hAnsi="Arial" w:cs="Arial"/>
          <w:b/>
          <w:bCs/>
          <w:sz w:val="24"/>
          <w:szCs w:val="24"/>
          <w:lang w:val="de-DE"/>
        </w:rPr>
      </w:pPr>
      <w:r w:rsidRPr="000A74BB">
        <w:rPr>
          <w:rFonts w:ascii="Arial" w:hAnsi="Arial" w:cs="Arial"/>
          <w:b/>
          <w:bCs/>
          <w:sz w:val="24"/>
          <w:szCs w:val="24"/>
          <w:lang w:val="de-DE"/>
        </w:rPr>
        <w:t>so với cùng kỳ năm 2024</w:t>
      </w:r>
    </w:p>
    <w:p w14:paraId="28D6AB0B" w14:textId="77777777" w:rsidR="00C67D4D" w:rsidRPr="000A74BB" w:rsidRDefault="00C67D4D" w:rsidP="00EF01E6">
      <w:pPr>
        <w:spacing w:before="120" w:after="120"/>
        <w:jc w:val="center"/>
        <w:rPr>
          <w:sz w:val="24"/>
          <w:szCs w:val="24"/>
          <w:lang w:val="en-GB" w:eastAsia="en-GB"/>
        </w:rPr>
      </w:pPr>
      <w:r w:rsidRPr="000A74BB">
        <w:rPr>
          <w:noProof/>
          <w:sz w:val="24"/>
          <w:szCs w:val="24"/>
        </w:rPr>
        <w:drawing>
          <wp:inline distT="0" distB="0" distL="0" distR="0" wp14:anchorId="36F1169B" wp14:editId="223B21AA">
            <wp:extent cx="5755640" cy="1711757"/>
            <wp:effectExtent l="0" t="0" r="0" b="3175"/>
            <wp:docPr id="6" name="Picture 6" descr="D:\o D\vinhvanphong\Lâm nghiệp-Thủy sản\Năm 2025\Tháng 7\Thuy san _T7-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7\Thuy san _T7-25-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399" cy="1741128"/>
                    </a:xfrm>
                    <a:prstGeom prst="rect">
                      <a:avLst/>
                    </a:prstGeom>
                    <a:noFill/>
                    <a:ln>
                      <a:noFill/>
                    </a:ln>
                  </pic:spPr>
                </pic:pic>
              </a:graphicData>
            </a:graphic>
          </wp:inline>
        </w:drawing>
      </w:r>
    </w:p>
    <w:p w14:paraId="4E6C9731" w14:textId="77777777" w:rsidR="00C67D4D" w:rsidRPr="00460807" w:rsidRDefault="00C67D4D" w:rsidP="008B5944">
      <w:pPr>
        <w:spacing w:after="120" w:line="247" w:lineRule="auto"/>
        <w:ind w:firstLine="720"/>
        <w:jc w:val="both"/>
        <w:rPr>
          <w:b/>
          <w:bCs/>
          <w:lang w:val="pl-PL"/>
        </w:rPr>
      </w:pPr>
      <w:r w:rsidRPr="00460807">
        <w:rPr>
          <w:lang w:val="de-DE"/>
        </w:rPr>
        <w:t xml:space="preserve">Tính chung bảy tháng năm 2025, sản lượng thủy sản ước đạt </w:t>
      </w:r>
      <w:r w:rsidRPr="00460807">
        <w:rPr>
          <w:lang w:val="en-GB"/>
        </w:rPr>
        <w:t xml:space="preserve">5.500,0 nghìn tấn, tăng </w:t>
      </w:r>
      <w:r w:rsidRPr="00460807">
        <w:rPr>
          <w:lang w:val="vi-VN"/>
        </w:rPr>
        <w:t>3,1</w:t>
      </w:r>
      <w:r w:rsidRPr="00460807">
        <w:rPr>
          <w:lang w:val="en-GB"/>
        </w:rPr>
        <w:t>%</w:t>
      </w:r>
      <w:r w:rsidRPr="00460807">
        <w:rPr>
          <w:lang w:val="de-DE"/>
        </w:rPr>
        <w:t xml:space="preserve"> so với cùng kỳ năm trước, trong đó: Cá đạt </w:t>
      </w:r>
      <w:r w:rsidRPr="00460807">
        <w:rPr>
          <w:lang w:val="en-GB"/>
        </w:rPr>
        <w:t>3.925</w:t>
      </w:r>
      <w:r w:rsidRPr="00460807">
        <w:rPr>
          <w:lang w:val="vi-VN"/>
        </w:rPr>
        <w:t xml:space="preserve">,7 </w:t>
      </w:r>
      <w:r w:rsidRPr="00460807">
        <w:rPr>
          <w:lang w:val="en-GB"/>
        </w:rPr>
        <w:t>nghìn tấn, tăng 2,8%; tôm đạt 793,</w:t>
      </w:r>
      <w:r w:rsidRPr="00460807">
        <w:rPr>
          <w:lang w:val="vi-VN"/>
        </w:rPr>
        <w:t>4</w:t>
      </w:r>
      <w:r w:rsidRPr="00460807">
        <w:rPr>
          <w:lang w:val="en-GB"/>
        </w:rPr>
        <w:t xml:space="preserve"> nghìn tấn, tăng 5,</w:t>
      </w:r>
      <w:r w:rsidRPr="00460807">
        <w:rPr>
          <w:lang w:val="vi-VN"/>
        </w:rPr>
        <w:t>6</w:t>
      </w:r>
      <w:r w:rsidRPr="00460807">
        <w:rPr>
          <w:lang w:val="en-GB"/>
        </w:rPr>
        <w:t>%</w:t>
      </w:r>
      <w:r w:rsidRPr="00460807">
        <w:rPr>
          <w:lang w:val="de-DE"/>
        </w:rPr>
        <w:t>; thủy sản khác đạt 780,9 nghìn tấn, tăng 2,0%.</w:t>
      </w:r>
    </w:p>
    <w:p w14:paraId="5195CB4E" w14:textId="77777777" w:rsidR="00796815" w:rsidRPr="000A74BB" w:rsidRDefault="00796815" w:rsidP="008B5944">
      <w:pPr>
        <w:widowControl w:val="0"/>
        <w:spacing w:after="120" w:line="247" w:lineRule="auto"/>
        <w:ind w:firstLine="720"/>
        <w:jc w:val="both"/>
        <w:rPr>
          <w:b/>
          <w:bCs/>
          <w:lang w:val="pl-PL"/>
        </w:rPr>
      </w:pPr>
      <w:r w:rsidRPr="000A74BB">
        <w:rPr>
          <w:b/>
          <w:bCs/>
          <w:lang w:val="pl-PL"/>
        </w:rPr>
        <w:t>2. Sản xuất công nghiệp</w:t>
      </w:r>
    </w:p>
    <w:p w14:paraId="603D2C24" w14:textId="77777777" w:rsidR="00C67D4D" w:rsidRPr="000A74BB" w:rsidRDefault="00C67D4D" w:rsidP="008B5944">
      <w:pPr>
        <w:widowControl w:val="0"/>
        <w:shd w:val="clear" w:color="auto" w:fill="FFFFFF"/>
        <w:spacing w:after="120" w:line="247" w:lineRule="auto"/>
        <w:ind w:firstLine="720"/>
        <w:jc w:val="both"/>
        <w:rPr>
          <w:i/>
          <w:lang w:val="vi-VN"/>
        </w:rPr>
      </w:pPr>
      <w:r w:rsidRPr="000A74BB">
        <w:rPr>
          <w:i/>
          <w:lang w:val="sv-SE"/>
        </w:rPr>
        <w:t>Sản xuất công nghiệp tháng Bảy tiếp tục duy trì đà</w:t>
      </w:r>
      <w:r w:rsidRPr="000A74BB">
        <w:rPr>
          <w:i/>
          <w:lang w:val="vi-VN"/>
        </w:rPr>
        <w:t xml:space="preserve"> </w:t>
      </w:r>
      <w:r w:rsidRPr="000A74BB">
        <w:rPr>
          <w:i/>
          <w:lang w:val="sv-SE"/>
        </w:rPr>
        <w:t xml:space="preserve">tăng trưởng. Chỉ số sản xuất công nghiệp tháng Bảy ước tăng </w:t>
      </w:r>
      <w:r w:rsidRPr="000A74BB">
        <w:rPr>
          <w:i/>
          <w:lang w:val="de-DE"/>
        </w:rPr>
        <w:t>0</w:t>
      </w:r>
      <w:r w:rsidRPr="000A74BB">
        <w:rPr>
          <w:i/>
          <w:lang w:val="vi-VN"/>
        </w:rPr>
        <w:t xml:space="preserve">,5% </w:t>
      </w:r>
      <w:r w:rsidRPr="000A74BB">
        <w:rPr>
          <w:i/>
          <w:lang w:val="sv-SE"/>
        </w:rPr>
        <w:t>so với tháng trước và tăng 8</w:t>
      </w:r>
      <w:r w:rsidRPr="000A74BB">
        <w:rPr>
          <w:i/>
          <w:lang w:val="vi-VN"/>
        </w:rPr>
        <w:t>,5</w:t>
      </w:r>
      <w:r w:rsidRPr="000A74BB">
        <w:rPr>
          <w:i/>
          <w:lang w:val="sv-SE"/>
        </w:rPr>
        <w:t>% so với cùng kỳ năm trước</w:t>
      </w:r>
      <w:r w:rsidRPr="000A74BB">
        <w:rPr>
          <w:rFonts w:eastAsia="DengXian Light"/>
          <w:i/>
          <w:vertAlign w:val="superscript"/>
          <w:lang w:val="vi-VN"/>
        </w:rPr>
        <w:footnoteReference w:id="5"/>
      </w:r>
      <w:r w:rsidRPr="000A74BB">
        <w:rPr>
          <w:i/>
          <w:lang w:val="sv-SE"/>
        </w:rPr>
        <w:t>. Tính chung bảy tháng năm 2025, chỉ số sản xuất công nghiệp tăng 8,6% so với cùng kỳ năm trước.</w:t>
      </w:r>
    </w:p>
    <w:p w14:paraId="25D34A81" w14:textId="0EA90658" w:rsidR="00C67D4D" w:rsidRPr="000A74BB" w:rsidRDefault="00C67D4D" w:rsidP="008B5944">
      <w:pPr>
        <w:widowControl w:val="0"/>
        <w:shd w:val="clear" w:color="auto" w:fill="FFFFFF"/>
        <w:tabs>
          <w:tab w:val="left" w:pos="8931"/>
        </w:tabs>
        <w:spacing w:after="120" w:line="247" w:lineRule="auto"/>
        <w:ind w:firstLine="720"/>
        <w:jc w:val="both"/>
        <w:rPr>
          <w:lang w:val="pl-PL"/>
        </w:rPr>
      </w:pPr>
      <w:r w:rsidRPr="000A74BB">
        <w:rPr>
          <w:i/>
          <w:lang w:val="pl-PL"/>
        </w:rPr>
        <w:t xml:space="preserve">Chỉ số sản xuất công nghiệp (IIP) tháng </w:t>
      </w:r>
      <w:r w:rsidR="00BD5E18">
        <w:rPr>
          <w:i/>
          <w:lang w:val="sv-SE"/>
        </w:rPr>
        <w:t>Bảy</w:t>
      </w:r>
      <w:r w:rsidRPr="000A74BB">
        <w:rPr>
          <w:lang w:val="pl-PL"/>
        </w:rPr>
        <w:t xml:space="preserve"> ước </w:t>
      </w:r>
      <w:r w:rsidRPr="000A74BB">
        <w:rPr>
          <w:lang w:val="sv-SE"/>
        </w:rPr>
        <w:t>tăng 0</w:t>
      </w:r>
      <w:r w:rsidRPr="000A74BB">
        <w:rPr>
          <w:lang w:val="vi-VN"/>
        </w:rPr>
        <w:t>,5%</w:t>
      </w:r>
      <w:r w:rsidRPr="000A74BB">
        <w:rPr>
          <w:lang w:val="pl-PL"/>
        </w:rPr>
        <w:t xml:space="preserve"> so với tháng trước</w:t>
      </w:r>
      <w:r w:rsidRPr="000A74BB">
        <w:rPr>
          <w:rFonts w:eastAsia="DengXian Light"/>
          <w:vertAlign w:val="superscript"/>
          <w:lang w:val="pl-PL"/>
        </w:rPr>
        <w:footnoteReference w:id="6"/>
      </w:r>
      <w:r w:rsidRPr="000A74BB">
        <w:rPr>
          <w:lang w:val="pl-PL"/>
        </w:rPr>
        <w:t xml:space="preserve"> và tăng </w:t>
      </w:r>
      <w:r w:rsidRPr="000A74BB">
        <w:rPr>
          <w:lang w:val="sv-SE"/>
        </w:rPr>
        <w:t>8</w:t>
      </w:r>
      <w:r w:rsidRPr="000A74BB">
        <w:rPr>
          <w:lang w:val="vi-VN"/>
        </w:rPr>
        <w:t>,5</w:t>
      </w:r>
      <w:r w:rsidRPr="000A74BB">
        <w:rPr>
          <w:lang w:val="pl-PL"/>
        </w:rPr>
        <w:t>% so với cùng kỳ năm trước</w:t>
      </w:r>
      <w:r w:rsidRPr="000A74BB">
        <w:rPr>
          <w:lang w:val="vi-VN"/>
        </w:rPr>
        <w:t>. T</w:t>
      </w:r>
      <w:r w:rsidRPr="000A74BB">
        <w:rPr>
          <w:lang w:val="pl-PL"/>
        </w:rPr>
        <w:t>rong đó</w:t>
      </w:r>
      <w:r w:rsidRPr="000A74BB">
        <w:rPr>
          <w:lang w:val="vi-VN"/>
        </w:rPr>
        <w:t>,</w:t>
      </w:r>
      <w:r w:rsidRPr="00306C05">
        <w:rPr>
          <w:lang w:val="vi-VN"/>
        </w:rPr>
        <w:t xml:space="preserve"> ngành </w:t>
      </w:r>
      <w:r w:rsidRPr="000A74BB">
        <w:rPr>
          <w:lang w:val="pl-PL"/>
        </w:rPr>
        <w:t>cung cấp nước, hoạt động quản lý và xử lý rác thải, nước thải tăng 9</w:t>
      </w:r>
      <w:r w:rsidRPr="000A74BB">
        <w:rPr>
          <w:lang w:val="vi-VN"/>
        </w:rPr>
        <w:t>,1</w:t>
      </w:r>
      <w:r w:rsidRPr="000A74BB">
        <w:rPr>
          <w:lang w:val="pl-PL"/>
        </w:rPr>
        <w:t xml:space="preserve">% so với cùng kỳ năm trước; ngành chế biến, chế tạo tăng </w:t>
      </w:r>
      <w:r w:rsidRPr="000A74BB">
        <w:rPr>
          <w:lang w:val="vi-VN"/>
        </w:rPr>
        <w:t>9,3</w:t>
      </w:r>
      <w:r w:rsidRPr="000A74BB">
        <w:rPr>
          <w:lang w:val="pl-PL"/>
        </w:rPr>
        <w:t>%; sản xuất và phân phối điện tăng 7</w:t>
      </w:r>
      <w:r w:rsidRPr="000A74BB">
        <w:rPr>
          <w:lang w:val="vi-VN"/>
        </w:rPr>
        <w:t>,0</w:t>
      </w:r>
      <w:r w:rsidRPr="000A74BB">
        <w:rPr>
          <w:lang w:val="pl-PL"/>
        </w:rPr>
        <w:t>%; ngành khai khoáng tăng 2</w:t>
      </w:r>
      <w:r w:rsidRPr="000A74BB">
        <w:rPr>
          <w:lang w:val="vi-VN"/>
        </w:rPr>
        <w:t>,6</w:t>
      </w:r>
      <w:r w:rsidRPr="000A74BB">
        <w:rPr>
          <w:lang w:val="pl-PL"/>
        </w:rPr>
        <w:t xml:space="preserve">%.  </w:t>
      </w:r>
    </w:p>
    <w:p w14:paraId="35DE0025" w14:textId="77777777" w:rsidR="00C67D4D" w:rsidRPr="000A74BB" w:rsidRDefault="00C67D4D" w:rsidP="008B5944">
      <w:pPr>
        <w:widowControl w:val="0"/>
        <w:shd w:val="clear" w:color="auto" w:fill="FFFFFF"/>
        <w:tabs>
          <w:tab w:val="left" w:pos="8931"/>
        </w:tabs>
        <w:spacing w:after="120" w:line="252" w:lineRule="auto"/>
        <w:ind w:firstLine="720"/>
        <w:jc w:val="both"/>
        <w:rPr>
          <w:lang w:val="pl-PL"/>
        </w:rPr>
      </w:pPr>
      <w:r w:rsidRPr="000A74BB">
        <w:rPr>
          <w:i/>
          <w:lang w:val="pl-PL"/>
        </w:rPr>
        <w:lastRenderedPageBreak/>
        <w:t>Tính chung bảy tháng năm 2025</w:t>
      </w:r>
      <w:r w:rsidRPr="000A74BB">
        <w:rPr>
          <w:lang w:val="pl-PL"/>
        </w:rPr>
        <w:t>, IIP ước tăng 8,6% so với cùng kỳ năm trước (</w:t>
      </w:r>
      <w:r w:rsidRPr="000A74BB">
        <w:rPr>
          <w:lang w:val="vi-VN"/>
        </w:rPr>
        <w:t>cùng kỳ năm 202</w:t>
      </w:r>
      <w:r w:rsidRPr="000A74BB">
        <w:rPr>
          <w:lang w:val="pl-PL"/>
        </w:rPr>
        <w:t>4</w:t>
      </w:r>
      <w:r w:rsidRPr="000A74BB">
        <w:rPr>
          <w:lang w:val="vi-VN"/>
        </w:rPr>
        <w:t xml:space="preserve"> tăng </w:t>
      </w:r>
      <w:r w:rsidRPr="000A74BB">
        <w:rPr>
          <w:lang w:val="pl-PL"/>
        </w:rPr>
        <w:t>8</w:t>
      </w:r>
      <w:r w:rsidRPr="000A74BB">
        <w:rPr>
          <w:lang w:val="vi-VN"/>
        </w:rPr>
        <w:t>,5%</w:t>
      </w:r>
      <w:r w:rsidRPr="000A74BB">
        <w:rPr>
          <w:lang w:val="pl-PL"/>
        </w:rPr>
        <w:t xml:space="preserve">). Trong đó, ngành chế biến, chế tạo tăng 10,3% (cùng kỳ năm 2024 </w:t>
      </w:r>
      <w:r w:rsidRPr="000A74BB">
        <w:rPr>
          <w:lang w:val="vi-VN"/>
        </w:rPr>
        <w:t>tăng</w:t>
      </w:r>
      <w:r w:rsidRPr="000A74BB">
        <w:rPr>
          <w:lang w:val="pl-PL"/>
        </w:rPr>
        <w:t xml:space="preserve"> 9</w:t>
      </w:r>
      <w:r w:rsidRPr="000A74BB">
        <w:rPr>
          <w:lang w:val="vi-VN"/>
        </w:rPr>
        <w:t>,6</w:t>
      </w:r>
      <w:r w:rsidRPr="000A74BB">
        <w:rPr>
          <w:lang w:val="pl-PL"/>
        </w:rPr>
        <w:t xml:space="preserve">%), đóng góp 8,5 điểm phần trăm vào mức tăng chung; ngành sản xuất và phân phối điện tăng 4,6% (cùng kỳ năm 2024 </w:t>
      </w:r>
      <w:r w:rsidRPr="000A74BB">
        <w:rPr>
          <w:lang w:val="vi-VN"/>
        </w:rPr>
        <w:t>tăng</w:t>
      </w:r>
      <w:r w:rsidRPr="000A74BB">
        <w:rPr>
          <w:lang w:val="pl-PL"/>
        </w:rPr>
        <w:t xml:space="preserve"> 12,</w:t>
      </w:r>
      <w:r w:rsidRPr="00306C05">
        <w:rPr>
          <w:lang w:val="pl-PL"/>
        </w:rPr>
        <w:t>0</w:t>
      </w:r>
      <w:r w:rsidRPr="000A74BB">
        <w:rPr>
          <w:lang w:val="pl-PL"/>
        </w:rPr>
        <w:t>%), đóng góp 0,4 điểm phần trăm; ngành cung cấp nước, hoạt động quản lý và xử lý rác thải, nước thải tăng 10,4% (cùng kỳ năm 2024 tăng 7</w:t>
      </w:r>
      <w:r w:rsidRPr="000A74BB">
        <w:rPr>
          <w:lang w:val="vi-VN"/>
        </w:rPr>
        <w:t>,1</w:t>
      </w:r>
      <w:r w:rsidRPr="000A74BB">
        <w:rPr>
          <w:lang w:val="pl-PL"/>
        </w:rPr>
        <w:t>%), đóng góp 0,1 điểm phần trăm; ngành khai khoáng giảm 2</w:t>
      </w:r>
      <w:r w:rsidRPr="000A74BB">
        <w:rPr>
          <w:lang w:val="vi-VN"/>
        </w:rPr>
        <w:t>,7</w:t>
      </w:r>
      <w:r w:rsidRPr="000A74BB">
        <w:rPr>
          <w:lang w:val="pl-PL"/>
        </w:rPr>
        <w:t>% (cùng kỳ năm 2024 giảm 6</w:t>
      </w:r>
      <w:r w:rsidRPr="000A74BB">
        <w:rPr>
          <w:lang w:val="vi-VN"/>
        </w:rPr>
        <w:t>,6</w:t>
      </w:r>
      <w:r w:rsidRPr="000A74BB">
        <w:rPr>
          <w:lang w:val="pl-PL"/>
        </w:rPr>
        <w:t xml:space="preserve">%), làm giảm </w:t>
      </w:r>
      <w:r w:rsidRPr="000A74BB">
        <w:rPr>
          <w:lang w:val="vi-VN"/>
        </w:rPr>
        <w:t>0,</w:t>
      </w:r>
      <w:r w:rsidRPr="000A74BB">
        <w:rPr>
          <w:lang w:val="pl-PL"/>
        </w:rPr>
        <w:t>4 điểm phần trăm.</w:t>
      </w:r>
    </w:p>
    <w:p w14:paraId="20B857A5" w14:textId="056515CB" w:rsidR="00C67D4D" w:rsidRPr="000A74BB" w:rsidRDefault="00C67D4D" w:rsidP="008B5944">
      <w:pPr>
        <w:widowControl w:val="0"/>
        <w:shd w:val="clear" w:color="auto" w:fill="FFFFFF"/>
        <w:tabs>
          <w:tab w:val="left" w:pos="8931"/>
        </w:tabs>
        <w:spacing w:after="120" w:line="252" w:lineRule="auto"/>
        <w:ind w:firstLine="720"/>
        <w:jc w:val="both"/>
        <w:rPr>
          <w:lang w:val="vi-VN"/>
        </w:rPr>
      </w:pPr>
      <w:r w:rsidRPr="000A74BB">
        <w:rPr>
          <w:i/>
          <w:lang w:val="pl-PL"/>
        </w:rPr>
        <w:t>Chỉ số sản xuất công nghiệp bảy tháng năm 2025 của một số ngành trọng điểm cấp II tăng so với cùng kỳ năm trước</w:t>
      </w:r>
      <w:r w:rsidRPr="000A74BB">
        <w:rPr>
          <w:lang w:val="pl-PL"/>
        </w:rPr>
        <w:t>: Sản xuất xe có động cơ tăng 29</w:t>
      </w:r>
      <w:r w:rsidRPr="000A74BB">
        <w:rPr>
          <w:lang w:val="vi-VN"/>
        </w:rPr>
        <w:t>,9</w:t>
      </w:r>
      <w:r w:rsidRPr="000A74BB">
        <w:rPr>
          <w:lang w:val="pl-PL"/>
        </w:rPr>
        <w:t xml:space="preserve">%; </w:t>
      </w:r>
      <w:r w:rsidRPr="000A74BB">
        <w:rPr>
          <w:lang w:val="vi-VN"/>
        </w:rPr>
        <w:t>s</w:t>
      </w:r>
      <w:r w:rsidRPr="000A74BB">
        <w:rPr>
          <w:lang w:val="pl-PL"/>
        </w:rPr>
        <w:t>ản xuất sản phẩm từ cao su và plastic tăng 16,9%</w:t>
      </w:r>
      <w:r w:rsidRPr="000A74BB">
        <w:rPr>
          <w:lang w:val="vi-VN"/>
        </w:rPr>
        <w:t>;</w:t>
      </w:r>
      <w:r w:rsidRPr="000A74BB">
        <w:rPr>
          <w:lang w:val="pl-PL"/>
        </w:rPr>
        <w:t xml:space="preserve"> </w:t>
      </w:r>
      <w:r w:rsidRPr="000A74BB">
        <w:rPr>
          <w:lang w:val="vi-VN"/>
        </w:rPr>
        <w:t>s</w:t>
      </w:r>
      <w:r w:rsidRPr="000A74BB">
        <w:rPr>
          <w:lang w:val="pl-PL"/>
        </w:rPr>
        <w:t>ản xuất da và các sản phẩm có liên quan tăng 15</w:t>
      </w:r>
      <w:r w:rsidRPr="000A74BB">
        <w:rPr>
          <w:lang w:val="vi-VN"/>
        </w:rPr>
        <w:t>,4</w:t>
      </w:r>
      <w:r w:rsidRPr="000A74BB">
        <w:rPr>
          <w:lang w:val="pl-PL"/>
        </w:rPr>
        <w:t>%;</w:t>
      </w:r>
      <w:r w:rsidRPr="000A74BB">
        <w:rPr>
          <w:lang w:val="vi-VN"/>
        </w:rPr>
        <w:t xml:space="preserve"> </w:t>
      </w:r>
      <w:r w:rsidRPr="000A74BB">
        <w:rPr>
          <w:lang w:val="pl-PL"/>
        </w:rPr>
        <w:t>sản xuất sản phẩm từ khoáng phi kim loại khác tăng 14</w:t>
      </w:r>
      <w:r w:rsidRPr="000A74BB">
        <w:rPr>
          <w:lang w:val="vi-VN"/>
        </w:rPr>
        <w:t>,8</w:t>
      </w:r>
      <w:r w:rsidRPr="000A74BB">
        <w:rPr>
          <w:lang w:val="pl-PL"/>
        </w:rPr>
        <w:t xml:space="preserve">%; </w:t>
      </w:r>
      <w:r w:rsidRPr="000A74BB">
        <w:rPr>
          <w:lang w:val="vi-VN"/>
        </w:rPr>
        <w:t>s</w:t>
      </w:r>
      <w:r w:rsidRPr="000A74BB">
        <w:rPr>
          <w:lang w:val="pl-PL"/>
        </w:rPr>
        <w:t>ản xuất trang phục tăng 14</w:t>
      </w:r>
      <w:r w:rsidRPr="000A74BB">
        <w:rPr>
          <w:lang w:val="vi-VN"/>
        </w:rPr>
        <w:t>,5</w:t>
      </w:r>
      <w:r w:rsidRPr="000A74BB">
        <w:rPr>
          <w:lang w:val="pl-PL"/>
        </w:rPr>
        <w:t>%; sản xuất phương tiện vận tải khác tăng 12</w:t>
      </w:r>
      <w:r w:rsidRPr="000A74BB">
        <w:rPr>
          <w:lang w:val="vi-VN"/>
        </w:rPr>
        <w:t>,2</w:t>
      </w:r>
      <w:r w:rsidRPr="000A74BB">
        <w:rPr>
          <w:lang w:val="pl-PL"/>
        </w:rPr>
        <w:t>%;</w:t>
      </w:r>
      <w:r w:rsidRPr="000A74BB">
        <w:rPr>
          <w:lang w:val="vi-VN"/>
        </w:rPr>
        <w:t xml:space="preserve"> s</w:t>
      </w:r>
      <w:r w:rsidRPr="000A74BB">
        <w:rPr>
          <w:lang w:val="pl-PL"/>
        </w:rPr>
        <w:t>ản xuất sản phẩm từ kim loại đúc sẵn (trừ máy móc, thiết bị) tăng 11</w:t>
      </w:r>
      <w:r w:rsidRPr="000A74BB">
        <w:rPr>
          <w:lang w:val="vi-VN"/>
        </w:rPr>
        <w:t>,0</w:t>
      </w:r>
      <w:r w:rsidRPr="000A74BB">
        <w:rPr>
          <w:lang w:val="pl-PL"/>
        </w:rPr>
        <w:t>%; sản xuất giường, tủ, bàn, ghế tăng 10</w:t>
      </w:r>
      <w:r w:rsidRPr="000A74BB">
        <w:rPr>
          <w:lang w:val="vi-VN"/>
        </w:rPr>
        <w:t>,9</w:t>
      </w:r>
      <w:r w:rsidRPr="000A74BB">
        <w:rPr>
          <w:lang w:val="pl-PL"/>
        </w:rPr>
        <w:t>%; sản</w:t>
      </w:r>
      <w:r w:rsidRPr="000A74BB">
        <w:rPr>
          <w:lang w:val="vi-VN"/>
        </w:rPr>
        <w:t xml:space="preserve"> xuất kim loại tăng 10,1%; sản xuất chế biến thực phẩm tăng 10,0%; s</w:t>
      </w:r>
      <w:r w:rsidRPr="000A74BB">
        <w:rPr>
          <w:lang w:val="pl-PL"/>
        </w:rPr>
        <w:t>ản xuất sản phẩm điện tử, máy vi tính và sản phẩm quang học tăng 7</w:t>
      </w:r>
      <w:r w:rsidRPr="000A74BB">
        <w:rPr>
          <w:lang w:val="vi-VN"/>
        </w:rPr>
        <w:t>,9</w:t>
      </w:r>
      <w:r w:rsidRPr="000A74BB">
        <w:rPr>
          <w:lang w:val="pl-PL"/>
        </w:rPr>
        <w:t>%</w:t>
      </w:r>
      <w:r w:rsidRPr="000A74BB">
        <w:rPr>
          <w:lang w:val="vi-VN"/>
        </w:rPr>
        <w:t xml:space="preserve">. </w:t>
      </w:r>
      <w:r w:rsidRPr="000A74BB">
        <w:rPr>
          <w:lang w:val="pl-PL"/>
        </w:rPr>
        <w:t>Ở chiều ngược lại, chỉ số IIP của một số ngành tăng</w:t>
      </w:r>
      <w:r w:rsidRPr="000A74BB">
        <w:rPr>
          <w:lang w:val="vi-VN"/>
        </w:rPr>
        <w:t xml:space="preserve"> thấp</w:t>
      </w:r>
      <w:r w:rsidR="00150724" w:rsidRPr="008B5944">
        <w:rPr>
          <w:lang w:val="vi-VN"/>
        </w:rPr>
        <w:t xml:space="preserve"> hoặc </w:t>
      </w:r>
      <w:r w:rsidRPr="000A74BB">
        <w:rPr>
          <w:lang w:val="pl-PL"/>
        </w:rPr>
        <w:t xml:space="preserve">giảm: </w:t>
      </w:r>
      <w:r w:rsidRPr="000A74BB">
        <w:rPr>
          <w:lang w:val="vi-VN"/>
        </w:rPr>
        <w:t xml:space="preserve">Sản xuất đồ uống tăng 3,1%; </w:t>
      </w:r>
      <w:r w:rsidRPr="000A74BB">
        <w:rPr>
          <w:lang w:val="pl-PL"/>
        </w:rPr>
        <w:t>sản</w:t>
      </w:r>
      <w:r w:rsidRPr="000A74BB">
        <w:rPr>
          <w:lang w:val="vi-VN"/>
        </w:rPr>
        <w:t xml:space="preserve"> xuất thiết bị điện tăng 3,0%; </w:t>
      </w:r>
      <w:r w:rsidRPr="000A74BB">
        <w:rPr>
          <w:lang w:val="pl-PL"/>
        </w:rPr>
        <w:t>khai thác dầu thô và khí đốt tự nhiên giảm 8,1%; sản xuất thuốc, hoá dược và dược liệu giảm 4</w:t>
      </w:r>
      <w:r w:rsidRPr="000A74BB">
        <w:rPr>
          <w:lang w:val="vi-VN"/>
        </w:rPr>
        <w:t>,9</w:t>
      </w:r>
      <w:r w:rsidRPr="000A74BB">
        <w:rPr>
          <w:lang w:val="pl-PL"/>
        </w:rPr>
        <w:t>%</w:t>
      </w:r>
      <w:r w:rsidRPr="000A74BB">
        <w:rPr>
          <w:lang w:val="vi-VN"/>
        </w:rPr>
        <w:t>.</w:t>
      </w:r>
    </w:p>
    <w:p w14:paraId="5B07245D" w14:textId="1201CC97" w:rsidR="00C67D4D" w:rsidRPr="000A74BB" w:rsidRDefault="00C67D4D" w:rsidP="00C67D4D">
      <w:pPr>
        <w:shd w:val="clear" w:color="auto" w:fill="FFFFFF"/>
        <w:tabs>
          <w:tab w:val="left" w:pos="8931"/>
        </w:tabs>
        <w:spacing w:before="120" w:after="120" w:line="252" w:lineRule="auto"/>
        <w:jc w:val="center"/>
        <w:rPr>
          <w:rFonts w:ascii="Arial" w:hAnsi="Arial" w:cs="Arial"/>
          <w:b/>
          <w:sz w:val="24"/>
          <w:szCs w:val="22"/>
          <w:lang w:val="pl-PL"/>
        </w:rPr>
      </w:pPr>
      <w:r w:rsidRPr="000A74BB">
        <w:rPr>
          <w:rFonts w:ascii="Arial" w:hAnsi="Arial" w:cs="Arial"/>
          <w:b/>
          <w:sz w:val="24"/>
          <w:szCs w:val="22"/>
          <w:lang w:val="pl-PL"/>
        </w:rPr>
        <w:t>Biểu 1. Tốc độ tăng</w:t>
      </w:r>
      <w:r w:rsidR="00497F6C">
        <w:rPr>
          <w:rFonts w:ascii="Arial" w:hAnsi="Arial" w:cs="Arial"/>
          <w:b/>
          <w:sz w:val="24"/>
          <w:szCs w:val="22"/>
          <w:lang w:val="pl-PL"/>
        </w:rPr>
        <w:t xml:space="preserve">, </w:t>
      </w:r>
      <w:r w:rsidRPr="000A74BB">
        <w:rPr>
          <w:rFonts w:ascii="Arial" w:hAnsi="Arial" w:cs="Arial"/>
          <w:b/>
          <w:sz w:val="24"/>
          <w:szCs w:val="22"/>
          <w:lang w:val="pl-PL"/>
        </w:rPr>
        <w:t>giảm chỉ số IIP 7</w:t>
      </w:r>
      <w:r w:rsidRPr="000A74BB">
        <w:rPr>
          <w:rFonts w:ascii="Arial" w:hAnsi="Arial" w:cs="Arial"/>
          <w:b/>
          <w:sz w:val="24"/>
          <w:szCs w:val="22"/>
          <w:lang w:val="vi-VN"/>
        </w:rPr>
        <w:t xml:space="preserve"> tháng </w:t>
      </w:r>
      <w:r w:rsidRPr="000A74BB">
        <w:rPr>
          <w:rFonts w:ascii="Arial" w:hAnsi="Arial" w:cs="Arial"/>
          <w:b/>
          <w:sz w:val="24"/>
          <w:szCs w:val="22"/>
          <w:lang w:val="pl-PL"/>
        </w:rPr>
        <w:t>các năm 2021 - 2025</w:t>
      </w:r>
      <w:r w:rsidRPr="000A74BB">
        <w:rPr>
          <w:rFonts w:ascii="Arial" w:hAnsi="Arial" w:cs="Arial"/>
          <w:b/>
          <w:sz w:val="24"/>
          <w:szCs w:val="22"/>
          <w:lang w:val="pl-PL"/>
        </w:rPr>
        <w:br/>
        <w:t xml:space="preserve">so với cùng kỳ năm trước của một số ngành công nghiệp trọng điểm </w:t>
      </w:r>
    </w:p>
    <w:p w14:paraId="3C0AF24E" w14:textId="77777777" w:rsidR="00C67D4D" w:rsidRPr="000A74BB" w:rsidRDefault="00C67D4D" w:rsidP="00C67D4D">
      <w:pPr>
        <w:shd w:val="clear" w:color="auto" w:fill="FFFFFF"/>
        <w:tabs>
          <w:tab w:val="left" w:pos="8931"/>
        </w:tabs>
        <w:spacing w:before="60"/>
        <w:jc w:val="right"/>
        <w:rPr>
          <w:rFonts w:ascii="Arial" w:hAnsi="Arial" w:cs="Arial"/>
          <w:b/>
          <w:bCs/>
          <w:i/>
          <w:iCs/>
          <w:sz w:val="20"/>
          <w:szCs w:val="20"/>
          <w:lang w:val="pl-PL"/>
        </w:rPr>
      </w:pPr>
      <w:r w:rsidRPr="000A74BB">
        <w:rPr>
          <w:rFonts w:ascii="Arial" w:hAnsi="Arial" w:cs="Arial"/>
          <w:b/>
          <w:bCs/>
          <w:i/>
          <w:iCs/>
          <w:sz w:val="20"/>
          <w:szCs w:val="20"/>
          <w:lang w:val="pl-PL"/>
        </w:rPr>
        <w:t xml:space="preserve">   %</w:t>
      </w:r>
    </w:p>
    <w:tbl>
      <w:tblPr>
        <w:tblW w:w="8992" w:type="dxa"/>
        <w:jc w:val="center"/>
        <w:tblBorders>
          <w:top w:val="single" w:sz="4" w:space="0" w:color="auto"/>
        </w:tblBorders>
        <w:tblLook w:val="04A0" w:firstRow="1" w:lastRow="0" w:firstColumn="1" w:lastColumn="0" w:noHBand="0" w:noVBand="1"/>
      </w:tblPr>
      <w:tblGrid>
        <w:gridCol w:w="4283"/>
        <w:gridCol w:w="999"/>
        <w:gridCol w:w="986"/>
        <w:gridCol w:w="1027"/>
        <w:gridCol w:w="841"/>
        <w:gridCol w:w="856"/>
      </w:tblGrid>
      <w:tr w:rsidR="00C67D4D" w:rsidRPr="000A74BB" w14:paraId="7E1F2A4E" w14:textId="77777777" w:rsidTr="00C67D4D">
        <w:trPr>
          <w:trHeight w:val="578"/>
          <w:tblHeader/>
          <w:jc w:val="center"/>
        </w:trPr>
        <w:tc>
          <w:tcPr>
            <w:tcW w:w="4283" w:type="dxa"/>
            <w:tcBorders>
              <w:top w:val="single" w:sz="4" w:space="0" w:color="auto"/>
              <w:left w:val="nil"/>
              <w:bottom w:val="nil"/>
              <w:right w:val="nil"/>
            </w:tcBorders>
            <w:shd w:val="clear" w:color="auto" w:fill="FFFFFF"/>
            <w:hideMark/>
          </w:tcPr>
          <w:p w14:paraId="0AFE711B" w14:textId="77777777" w:rsidR="00C67D4D" w:rsidRPr="000A74BB" w:rsidRDefault="00C67D4D" w:rsidP="00C67D4D">
            <w:pPr>
              <w:spacing w:before="20" w:after="20" w:line="256" w:lineRule="auto"/>
              <w:jc w:val="center"/>
              <w:rPr>
                <w:rFonts w:ascii="Arial" w:hAnsi="Arial" w:cs="Arial"/>
                <w:b/>
                <w:bCs/>
                <w:sz w:val="20"/>
                <w:szCs w:val="20"/>
                <w:lang w:val="vi-VN"/>
              </w:rPr>
            </w:pPr>
            <w:r w:rsidRPr="000A74BB">
              <w:rPr>
                <w:rFonts w:ascii="Arial" w:hAnsi="Arial" w:cs="Arial"/>
                <w:b/>
                <w:bCs/>
                <w:sz w:val="20"/>
                <w:szCs w:val="20"/>
                <w:lang w:val="vi-VN"/>
              </w:rPr>
              <w:t> </w:t>
            </w:r>
          </w:p>
        </w:tc>
        <w:tc>
          <w:tcPr>
            <w:tcW w:w="999" w:type="dxa"/>
            <w:tcBorders>
              <w:top w:val="single" w:sz="4" w:space="0" w:color="auto"/>
              <w:left w:val="nil"/>
              <w:bottom w:val="single" w:sz="4" w:space="0" w:color="auto"/>
              <w:right w:val="nil"/>
            </w:tcBorders>
            <w:vAlign w:val="center"/>
            <w:hideMark/>
          </w:tcPr>
          <w:p w14:paraId="5E45D952" w14:textId="77777777" w:rsidR="00C67D4D" w:rsidRPr="000A74BB" w:rsidRDefault="00C67D4D" w:rsidP="00C67D4D">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2021</w:t>
            </w:r>
          </w:p>
        </w:tc>
        <w:tc>
          <w:tcPr>
            <w:tcW w:w="986" w:type="dxa"/>
            <w:tcBorders>
              <w:top w:val="single" w:sz="4" w:space="0" w:color="auto"/>
              <w:left w:val="nil"/>
              <w:bottom w:val="single" w:sz="4" w:space="0" w:color="auto"/>
              <w:right w:val="nil"/>
            </w:tcBorders>
            <w:vAlign w:val="center"/>
            <w:hideMark/>
          </w:tcPr>
          <w:p w14:paraId="38AF07B0" w14:textId="77777777" w:rsidR="00C67D4D" w:rsidRPr="000A74BB" w:rsidRDefault="00C67D4D" w:rsidP="00C67D4D">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 xml:space="preserve"> 2022</w:t>
            </w:r>
          </w:p>
        </w:tc>
        <w:tc>
          <w:tcPr>
            <w:tcW w:w="1027" w:type="dxa"/>
            <w:tcBorders>
              <w:top w:val="single" w:sz="4" w:space="0" w:color="auto"/>
              <w:left w:val="nil"/>
              <w:bottom w:val="single" w:sz="4" w:space="0" w:color="auto"/>
              <w:right w:val="nil"/>
            </w:tcBorders>
            <w:vAlign w:val="center"/>
            <w:hideMark/>
          </w:tcPr>
          <w:p w14:paraId="2DC6D02B" w14:textId="77777777" w:rsidR="00C67D4D" w:rsidRPr="000A74BB" w:rsidRDefault="00C67D4D" w:rsidP="00C67D4D">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2023</w:t>
            </w:r>
          </w:p>
        </w:tc>
        <w:tc>
          <w:tcPr>
            <w:tcW w:w="841" w:type="dxa"/>
            <w:tcBorders>
              <w:top w:val="single" w:sz="4" w:space="0" w:color="auto"/>
              <w:left w:val="nil"/>
              <w:bottom w:val="single" w:sz="4" w:space="0" w:color="auto"/>
              <w:right w:val="nil"/>
            </w:tcBorders>
            <w:vAlign w:val="center"/>
            <w:hideMark/>
          </w:tcPr>
          <w:p w14:paraId="3F2CC44F" w14:textId="77777777" w:rsidR="00C67D4D" w:rsidRPr="000A74BB" w:rsidRDefault="00C67D4D" w:rsidP="00C67D4D">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2024</w:t>
            </w:r>
          </w:p>
        </w:tc>
        <w:tc>
          <w:tcPr>
            <w:tcW w:w="856" w:type="dxa"/>
            <w:tcBorders>
              <w:top w:val="single" w:sz="4" w:space="0" w:color="auto"/>
              <w:left w:val="nil"/>
              <w:bottom w:val="single" w:sz="4" w:space="0" w:color="auto"/>
              <w:right w:val="nil"/>
            </w:tcBorders>
            <w:vAlign w:val="center"/>
            <w:hideMark/>
          </w:tcPr>
          <w:p w14:paraId="3373D780" w14:textId="77777777" w:rsidR="00C67D4D" w:rsidRPr="000A74BB" w:rsidRDefault="00C67D4D" w:rsidP="00C67D4D">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2025</w:t>
            </w:r>
          </w:p>
        </w:tc>
      </w:tr>
      <w:tr w:rsidR="00C67D4D" w:rsidRPr="000A74BB" w14:paraId="7C96A1B3" w14:textId="77777777" w:rsidTr="00C67D4D">
        <w:trPr>
          <w:trHeight w:val="51"/>
          <w:jc w:val="center"/>
        </w:trPr>
        <w:tc>
          <w:tcPr>
            <w:tcW w:w="4283" w:type="dxa"/>
            <w:tcBorders>
              <w:top w:val="nil"/>
              <w:left w:val="nil"/>
              <w:bottom w:val="nil"/>
              <w:right w:val="nil"/>
            </w:tcBorders>
            <w:shd w:val="clear" w:color="auto" w:fill="FFFFFF"/>
          </w:tcPr>
          <w:p w14:paraId="0CA6E641" w14:textId="77777777" w:rsidR="00C67D4D" w:rsidRPr="000A74BB" w:rsidRDefault="00C67D4D" w:rsidP="00C67D4D">
            <w:pPr>
              <w:spacing w:before="20" w:after="20" w:line="256" w:lineRule="auto"/>
              <w:jc w:val="center"/>
              <w:rPr>
                <w:rFonts w:ascii="Arial" w:hAnsi="Arial" w:cs="Arial"/>
                <w:b/>
                <w:bCs/>
                <w:sz w:val="20"/>
                <w:szCs w:val="20"/>
                <w:lang w:val="vi-VN"/>
              </w:rPr>
            </w:pPr>
          </w:p>
        </w:tc>
        <w:tc>
          <w:tcPr>
            <w:tcW w:w="999" w:type="dxa"/>
            <w:tcBorders>
              <w:top w:val="single" w:sz="4" w:space="0" w:color="auto"/>
              <w:left w:val="nil"/>
              <w:bottom w:val="nil"/>
              <w:right w:val="nil"/>
            </w:tcBorders>
            <w:vAlign w:val="center"/>
          </w:tcPr>
          <w:p w14:paraId="79DBFF16" w14:textId="77777777" w:rsidR="00C67D4D" w:rsidRPr="000A74BB" w:rsidRDefault="00C67D4D" w:rsidP="00C67D4D">
            <w:pPr>
              <w:spacing w:before="20" w:after="20" w:line="256" w:lineRule="auto"/>
              <w:jc w:val="center"/>
              <w:rPr>
                <w:rFonts w:ascii="Arial" w:hAnsi="Arial" w:cs="Arial"/>
                <w:b/>
                <w:bCs/>
                <w:sz w:val="20"/>
                <w:szCs w:val="20"/>
                <w:lang w:val="vi-VN"/>
              </w:rPr>
            </w:pPr>
          </w:p>
        </w:tc>
        <w:tc>
          <w:tcPr>
            <w:tcW w:w="986" w:type="dxa"/>
            <w:tcBorders>
              <w:top w:val="single" w:sz="4" w:space="0" w:color="auto"/>
              <w:left w:val="nil"/>
              <w:bottom w:val="nil"/>
              <w:right w:val="nil"/>
            </w:tcBorders>
            <w:vAlign w:val="center"/>
          </w:tcPr>
          <w:p w14:paraId="07D5E708" w14:textId="77777777" w:rsidR="00C67D4D" w:rsidRPr="000A74BB" w:rsidRDefault="00C67D4D" w:rsidP="00C67D4D">
            <w:pPr>
              <w:spacing w:before="20" w:after="20" w:line="256" w:lineRule="auto"/>
              <w:jc w:val="center"/>
              <w:rPr>
                <w:rFonts w:ascii="Arial" w:hAnsi="Arial" w:cs="Arial"/>
                <w:b/>
                <w:bCs/>
                <w:sz w:val="20"/>
                <w:szCs w:val="20"/>
                <w:lang w:val="vi-VN"/>
              </w:rPr>
            </w:pPr>
          </w:p>
        </w:tc>
        <w:tc>
          <w:tcPr>
            <w:tcW w:w="1027" w:type="dxa"/>
            <w:tcBorders>
              <w:top w:val="single" w:sz="4" w:space="0" w:color="auto"/>
              <w:left w:val="nil"/>
              <w:bottom w:val="nil"/>
              <w:right w:val="nil"/>
            </w:tcBorders>
            <w:vAlign w:val="center"/>
          </w:tcPr>
          <w:p w14:paraId="340CD115" w14:textId="77777777" w:rsidR="00C67D4D" w:rsidRPr="000A74BB" w:rsidRDefault="00C67D4D" w:rsidP="00C67D4D">
            <w:pPr>
              <w:spacing w:before="20" w:after="20" w:line="256" w:lineRule="auto"/>
              <w:jc w:val="center"/>
              <w:rPr>
                <w:rFonts w:ascii="Arial" w:hAnsi="Arial" w:cs="Arial"/>
                <w:b/>
                <w:bCs/>
                <w:sz w:val="20"/>
                <w:szCs w:val="20"/>
                <w:lang w:val="vi-VN"/>
              </w:rPr>
            </w:pPr>
          </w:p>
        </w:tc>
        <w:tc>
          <w:tcPr>
            <w:tcW w:w="841" w:type="dxa"/>
            <w:tcBorders>
              <w:top w:val="single" w:sz="4" w:space="0" w:color="auto"/>
              <w:left w:val="nil"/>
              <w:bottom w:val="nil"/>
              <w:right w:val="nil"/>
            </w:tcBorders>
            <w:vAlign w:val="center"/>
          </w:tcPr>
          <w:p w14:paraId="6ABDEECA" w14:textId="77777777" w:rsidR="00C67D4D" w:rsidRPr="000A74BB" w:rsidRDefault="00C67D4D" w:rsidP="00C67D4D">
            <w:pPr>
              <w:spacing w:before="20" w:after="20" w:line="256" w:lineRule="auto"/>
              <w:jc w:val="center"/>
              <w:rPr>
                <w:rFonts w:ascii="Arial" w:hAnsi="Arial" w:cs="Arial"/>
                <w:b/>
                <w:bCs/>
                <w:sz w:val="20"/>
                <w:szCs w:val="20"/>
                <w:lang w:val="vi-VN"/>
              </w:rPr>
            </w:pPr>
          </w:p>
        </w:tc>
        <w:tc>
          <w:tcPr>
            <w:tcW w:w="856" w:type="dxa"/>
            <w:tcBorders>
              <w:top w:val="single" w:sz="4" w:space="0" w:color="auto"/>
              <w:left w:val="nil"/>
              <w:bottom w:val="nil"/>
              <w:right w:val="nil"/>
            </w:tcBorders>
            <w:vAlign w:val="center"/>
          </w:tcPr>
          <w:p w14:paraId="137EA542" w14:textId="77777777" w:rsidR="00C67D4D" w:rsidRPr="000A74BB" w:rsidRDefault="00C67D4D" w:rsidP="00C67D4D">
            <w:pPr>
              <w:spacing w:before="20" w:after="20" w:line="256" w:lineRule="auto"/>
              <w:jc w:val="center"/>
              <w:rPr>
                <w:rFonts w:ascii="Arial" w:hAnsi="Arial" w:cs="Arial"/>
                <w:b/>
                <w:bCs/>
                <w:sz w:val="20"/>
                <w:szCs w:val="20"/>
                <w:lang w:val="vi-VN"/>
              </w:rPr>
            </w:pPr>
          </w:p>
        </w:tc>
      </w:tr>
      <w:tr w:rsidR="00C67D4D" w:rsidRPr="000A74BB" w14:paraId="6C6E10E9" w14:textId="77777777" w:rsidTr="00C67D4D">
        <w:trPr>
          <w:trHeight w:val="309"/>
          <w:jc w:val="center"/>
        </w:trPr>
        <w:tc>
          <w:tcPr>
            <w:tcW w:w="4283" w:type="dxa"/>
            <w:tcBorders>
              <w:top w:val="nil"/>
              <w:left w:val="nil"/>
              <w:bottom w:val="nil"/>
              <w:right w:val="nil"/>
            </w:tcBorders>
            <w:shd w:val="clear" w:color="auto" w:fill="FFFFFF"/>
            <w:noWrap/>
            <w:hideMark/>
          </w:tcPr>
          <w:p w14:paraId="39C6503B"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Khai thác dầu thô và khí đốt tự nhiên</w:t>
            </w:r>
          </w:p>
        </w:tc>
        <w:tc>
          <w:tcPr>
            <w:tcW w:w="999" w:type="dxa"/>
            <w:tcBorders>
              <w:top w:val="nil"/>
              <w:left w:val="nil"/>
              <w:bottom w:val="nil"/>
              <w:right w:val="nil"/>
            </w:tcBorders>
            <w:hideMark/>
          </w:tcPr>
          <w:p w14:paraId="0800B92F"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-10,9</w:t>
            </w:r>
          </w:p>
        </w:tc>
        <w:tc>
          <w:tcPr>
            <w:tcW w:w="986" w:type="dxa"/>
            <w:tcBorders>
              <w:top w:val="nil"/>
              <w:left w:val="nil"/>
              <w:bottom w:val="nil"/>
              <w:right w:val="nil"/>
            </w:tcBorders>
            <w:hideMark/>
          </w:tcPr>
          <w:p w14:paraId="1ECCFA12"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-1,6</w:t>
            </w:r>
          </w:p>
        </w:tc>
        <w:tc>
          <w:tcPr>
            <w:tcW w:w="1027" w:type="dxa"/>
            <w:tcBorders>
              <w:top w:val="nil"/>
              <w:left w:val="nil"/>
              <w:bottom w:val="nil"/>
              <w:right w:val="nil"/>
            </w:tcBorders>
            <w:hideMark/>
          </w:tcPr>
          <w:p w14:paraId="38A24EA5"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-1,0</w:t>
            </w:r>
          </w:p>
        </w:tc>
        <w:tc>
          <w:tcPr>
            <w:tcW w:w="841" w:type="dxa"/>
            <w:tcBorders>
              <w:top w:val="nil"/>
              <w:left w:val="nil"/>
              <w:bottom w:val="nil"/>
              <w:right w:val="nil"/>
            </w:tcBorders>
            <w:hideMark/>
          </w:tcPr>
          <w:p w14:paraId="45AFDC12"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-12,5</w:t>
            </w:r>
          </w:p>
        </w:tc>
        <w:tc>
          <w:tcPr>
            <w:tcW w:w="856" w:type="dxa"/>
            <w:tcBorders>
              <w:top w:val="nil"/>
              <w:left w:val="nil"/>
              <w:bottom w:val="nil"/>
              <w:right w:val="nil"/>
            </w:tcBorders>
            <w:hideMark/>
          </w:tcPr>
          <w:p w14:paraId="069A6700"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-8,1</w:t>
            </w:r>
          </w:p>
        </w:tc>
      </w:tr>
      <w:tr w:rsidR="00C67D4D" w:rsidRPr="000A74BB" w14:paraId="25F7BD22" w14:textId="77777777" w:rsidTr="00C67D4D">
        <w:trPr>
          <w:trHeight w:val="309"/>
          <w:jc w:val="center"/>
        </w:trPr>
        <w:tc>
          <w:tcPr>
            <w:tcW w:w="4283" w:type="dxa"/>
            <w:tcBorders>
              <w:top w:val="nil"/>
              <w:left w:val="nil"/>
              <w:bottom w:val="nil"/>
              <w:right w:val="nil"/>
            </w:tcBorders>
            <w:shd w:val="clear" w:color="auto" w:fill="FFFFFF"/>
            <w:noWrap/>
            <w:hideMark/>
          </w:tcPr>
          <w:p w14:paraId="558BB766"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chế biến thực phẩm</w:t>
            </w:r>
          </w:p>
        </w:tc>
        <w:tc>
          <w:tcPr>
            <w:tcW w:w="999" w:type="dxa"/>
            <w:tcBorders>
              <w:top w:val="nil"/>
              <w:left w:val="nil"/>
              <w:bottom w:val="nil"/>
              <w:right w:val="nil"/>
            </w:tcBorders>
            <w:hideMark/>
          </w:tcPr>
          <w:p w14:paraId="6C07AE87"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3,8</w:t>
            </w:r>
          </w:p>
        </w:tc>
        <w:tc>
          <w:tcPr>
            <w:tcW w:w="986" w:type="dxa"/>
            <w:tcBorders>
              <w:top w:val="nil"/>
              <w:left w:val="nil"/>
              <w:bottom w:val="nil"/>
              <w:right w:val="nil"/>
            </w:tcBorders>
            <w:hideMark/>
          </w:tcPr>
          <w:p w14:paraId="7DBF4F26"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7,1</w:t>
            </w:r>
          </w:p>
        </w:tc>
        <w:tc>
          <w:tcPr>
            <w:tcW w:w="1027" w:type="dxa"/>
            <w:tcBorders>
              <w:top w:val="nil"/>
              <w:left w:val="nil"/>
              <w:bottom w:val="nil"/>
              <w:right w:val="nil"/>
            </w:tcBorders>
            <w:hideMark/>
          </w:tcPr>
          <w:p w14:paraId="2F4C6A67"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4,5</w:t>
            </w:r>
          </w:p>
        </w:tc>
        <w:tc>
          <w:tcPr>
            <w:tcW w:w="841" w:type="dxa"/>
            <w:tcBorders>
              <w:top w:val="nil"/>
              <w:left w:val="nil"/>
              <w:bottom w:val="nil"/>
              <w:right w:val="nil"/>
            </w:tcBorders>
            <w:hideMark/>
          </w:tcPr>
          <w:p w14:paraId="219AC62A"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6,9</w:t>
            </w:r>
          </w:p>
        </w:tc>
        <w:tc>
          <w:tcPr>
            <w:tcW w:w="856" w:type="dxa"/>
            <w:tcBorders>
              <w:top w:val="nil"/>
              <w:left w:val="nil"/>
              <w:bottom w:val="nil"/>
              <w:right w:val="nil"/>
            </w:tcBorders>
            <w:hideMark/>
          </w:tcPr>
          <w:p w14:paraId="49B0FD71"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10,0</w:t>
            </w:r>
          </w:p>
        </w:tc>
      </w:tr>
      <w:tr w:rsidR="00C67D4D" w:rsidRPr="000A74BB" w14:paraId="58567393" w14:textId="77777777" w:rsidTr="00C67D4D">
        <w:trPr>
          <w:trHeight w:val="335"/>
          <w:jc w:val="center"/>
        </w:trPr>
        <w:tc>
          <w:tcPr>
            <w:tcW w:w="4283" w:type="dxa"/>
            <w:tcBorders>
              <w:top w:val="nil"/>
              <w:left w:val="nil"/>
              <w:bottom w:val="nil"/>
              <w:right w:val="nil"/>
            </w:tcBorders>
            <w:shd w:val="clear" w:color="auto" w:fill="FFFFFF"/>
            <w:hideMark/>
          </w:tcPr>
          <w:p w14:paraId="2C1F761A"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đồ uống</w:t>
            </w:r>
          </w:p>
        </w:tc>
        <w:tc>
          <w:tcPr>
            <w:tcW w:w="999" w:type="dxa"/>
            <w:tcBorders>
              <w:top w:val="nil"/>
              <w:left w:val="nil"/>
              <w:bottom w:val="nil"/>
              <w:right w:val="nil"/>
            </w:tcBorders>
            <w:hideMark/>
          </w:tcPr>
          <w:p w14:paraId="4E02987D"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5,4</w:t>
            </w:r>
          </w:p>
        </w:tc>
        <w:tc>
          <w:tcPr>
            <w:tcW w:w="986" w:type="dxa"/>
            <w:tcBorders>
              <w:top w:val="nil"/>
              <w:left w:val="nil"/>
              <w:bottom w:val="nil"/>
              <w:right w:val="nil"/>
            </w:tcBorders>
            <w:hideMark/>
          </w:tcPr>
          <w:p w14:paraId="54A0D37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19,9</w:t>
            </w:r>
          </w:p>
        </w:tc>
        <w:tc>
          <w:tcPr>
            <w:tcW w:w="1027" w:type="dxa"/>
            <w:tcBorders>
              <w:top w:val="nil"/>
              <w:left w:val="nil"/>
              <w:bottom w:val="nil"/>
              <w:right w:val="nil"/>
            </w:tcBorders>
            <w:hideMark/>
          </w:tcPr>
          <w:p w14:paraId="38DD7730"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4,4</w:t>
            </w:r>
          </w:p>
        </w:tc>
        <w:tc>
          <w:tcPr>
            <w:tcW w:w="841" w:type="dxa"/>
            <w:tcBorders>
              <w:top w:val="nil"/>
              <w:left w:val="nil"/>
              <w:bottom w:val="nil"/>
              <w:right w:val="nil"/>
            </w:tcBorders>
            <w:hideMark/>
          </w:tcPr>
          <w:p w14:paraId="2332490D"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0,01</w:t>
            </w:r>
          </w:p>
        </w:tc>
        <w:tc>
          <w:tcPr>
            <w:tcW w:w="856" w:type="dxa"/>
            <w:tcBorders>
              <w:top w:val="nil"/>
              <w:left w:val="nil"/>
              <w:bottom w:val="nil"/>
              <w:right w:val="nil"/>
            </w:tcBorders>
            <w:hideMark/>
          </w:tcPr>
          <w:p w14:paraId="5B293EAE"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3,1</w:t>
            </w:r>
          </w:p>
        </w:tc>
      </w:tr>
      <w:tr w:rsidR="00C67D4D" w:rsidRPr="000A74BB" w14:paraId="6F765AEE" w14:textId="77777777" w:rsidTr="00C67D4D">
        <w:trPr>
          <w:trHeight w:val="309"/>
          <w:jc w:val="center"/>
        </w:trPr>
        <w:tc>
          <w:tcPr>
            <w:tcW w:w="4283" w:type="dxa"/>
            <w:tcBorders>
              <w:top w:val="nil"/>
              <w:left w:val="nil"/>
              <w:bottom w:val="nil"/>
              <w:right w:val="nil"/>
            </w:tcBorders>
            <w:shd w:val="clear" w:color="auto" w:fill="FFFFFF"/>
            <w:noWrap/>
            <w:hideMark/>
          </w:tcPr>
          <w:p w14:paraId="079CAA7E"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trang phục</w:t>
            </w:r>
          </w:p>
        </w:tc>
        <w:tc>
          <w:tcPr>
            <w:tcW w:w="999" w:type="dxa"/>
            <w:tcBorders>
              <w:top w:val="nil"/>
              <w:left w:val="nil"/>
              <w:bottom w:val="nil"/>
              <w:right w:val="nil"/>
            </w:tcBorders>
            <w:hideMark/>
          </w:tcPr>
          <w:p w14:paraId="20456051"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7,2</w:t>
            </w:r>
          </w:p>
        </w:tc>
        <w:tc>
          <w:tcPr>
            <w:tcW w:w="986" w:type="dxa"/>
            <w:tcBorders>
              <w:top w:val="nil"/>
              <w:left w:val="nil"/>
              <w:bottom w:val="nil"/>
              <w:right w:val="nil"/>
            </w:tcBorders>
            <w:hideMark/>
          </w:tcPr>
          <w:p w14:paraId="208CD447"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21,7</w:t>
            </w:r>
          </w:p>
        </w:tc>
        <w:tc>
          <w:tcPr>
            <w:tcW w:w="1027" w:type="dxa"/>
            <w:tcBorders>
              <w:top w:val="nil"/>
              <w:left w:val="nil"/>
              <w:bottom w:val="nil"/>
              <w:right w:val="nil"/>
            </w:tcBorders>
            <w:hideMark/>
          </w:tcPr>
          <w:p w14:paraId="55B85AE5"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-6,2</w:t>
            </w:r>
          </w:p>
        </w:tc>
        <w:tc>
          <w:tcPr>
            <w:tcW w:w="841" w:type="dxa"/>
            <w:tcBorders>
              <w:top w:val="nil"/>
              <w:left w:val="nil"/>
              <w:bottom w:val="nil"/>
              <w:right w:val="nil"/>
            </w:tcBorders>
            <w:hideMark/>
          </w:tcPr>
          <w:p w14:paraId="1C83D863"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7,2</w:t>
            </w:r>
          </w:p>
        </w:tc>
        <w:tc>
          <w:tcPr>
            <w:tcW w:w="856" w:type="dxa"/>
            <w:tcBorders>
              <w:top w:val="nil"/>
              <w:left w:val="nil"/>
              <w:bottom w:val="nil"/>
              <w:right w:val="nil"/>
            </w:tcBorders>
            <w:hideMark/>
          </w:tcPr>
          <w:p w14:paraId="0911159A"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14,5</w:t>
            </w:r>
          </w:p>
        </w:tc>
      </w:tr>
      <w:tr w:rsidR="00C67D4D" w:rsidRPr="000A74BB" w14:paraId="54A701EB" w14:textId="77777777" w:rsidTr="00C67D4D">
        <w:trPr>
          <w:trHeight w:val="309"/>
          <w:jc w:val="center"/>
        </w:trPr>
        <w:tc>
          <w:tcPr>
            <w:tcW w:w="4283" w:type="dxa"/>
            <w:tcBorders>
              <w:top w:val="nil"/>
              <w:left w:val="nil"/>
              <w:bottom w:val="nil"/>
              <w:right w:val="nil"/>
            </w:tcBorders>
            <w:shd w:val="clear" w:color="auto" w:fill="FFFFFF"/>
            <w:noWrap/>
            <w:hideMark/>
          </w:tcPr>
          <w:p w14:paraId="2A8B6030"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da và các sản phẩm có liên quan</w:t>
            </w:r>
          </w:p>
        </w:tc>
        <w:tc>
          <w:tcPr>
            <w:tcW w:w="999" w:type="dxa"/>
            <w:tcBorders>
              <w:top w:val="nil"/>
              <w:left w:val="nil"/>
              <w:bottom w:val="nil"/>
              <w:right w:val="nil"/>
            </w:tcBorders>
            <w:hideMark/>
          </w:tcPr>
          <w:p w14:paraId="3FF5D180"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13,8</w:t>
            </w:r>
          </w:p>
        </w:tc>
        <w:tc>
          <w:tcPr>
            <w:tcW w:w="986" w:type="dxa"/>
            <w:tcBorders>
              <w:top w:val="nil"/>
              <w:left w:val="nil"/>
              <w:bottom w:val="nil"/>
              <w:right w:val="nil"/>
            </w:tcBorders>
            <w:hideMark/>
          </w:tcPr>
          <w:p w14:paraId="547300F4"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14,1</w:t>
            </w:r>
          </w:p>
        </w:tc>
        <w:tc>
          <w:tcPr>
            <w:tcW w:w="1027" w:type="dxa"/>
            <w:tcBorders>
              <w:top w:val="nil"/>
              <w:left w:val="nil"/>
              <w:bottom w:val="nil"/>
              <w:right w:val="nil"/>
            </w:tcBorders>
            <w:hideMark/>
          </w:tcPr>
          <w:p w14:paraId="5AF8683B"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-2,6</w:t>
            </w:r>
          </w:p>
        </w:tc>
        <w:tc>
          <w:tcPr>
            <w:tcW w:w="841" w:type="dxa"/>
            <w:tcBorders>
              <w:top w:val="nil"/>
              <w:left w:val="nil"/>
              <w:bottom w:val="nil"/>
              <w:right w:val="nil"/>
            </w:tcBorders>
            <w:hideMark/>
          </w:tcPr>
          <w:p w14:paraId="06C3863D"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9,9</w:t>
            </w:r>
          </w:p>
        </w:tc>
        <w:tc>
          <w:tcPr>
            <w:tcW w:w="856" w:type="dxa"/>
            <w:tcBorders>
              <w:top w:val="nil"/>
              <w:left w:val="nil"/>
              <w:bottom w:val="nil"/>
              <w:right w:val="nil"/>
            </w:tcBorders>
            <w:hideMark/>
          </w:tcPr>
          <w:p w14:paraId="16018DBB"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15,4</w:t>
            </w:r>
          </w:p>
        </w:tc>
      </w:tr>
      <w:tr w:rsidR="00C67D4D" w:rsidRPr="000A74BB" w14:paraId="079D4A1B" w14:textId="77777777" w:rsidTr="00C67D4D">
        <w:trPr>
          <w:trHeight w:val="309"/>
          <w:jc w:val="center"/>
        </w:trPr>
        <w:tc>
          <w:tcPr>
            <w:tcW w:w="4283" w:type="dxa"/>
            <w:tcBorders>
              <w:top w:val="nil"/>
              <w:left w:val="nil"/>
              <w:bottom w:val="nil"/>
              <w:right w:val="nil"/>
            </w:tcBorders>
            <w:shd w:val="clear" w:color="auto" w:fill="FFFFFF"/>
            <w:noWrap/>
            <w:hideMark/>
          </w:tcPr>
          <w:p w14:paraId="26017D0C"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thuốc, hoá dược và dược liệu</w:t>
            </w:r>
          </w:p>
        </w:tc>
        <w:tc>
          <w:tcPr>
            <w:tcW w:w="999" w:type="dxa"/>
            <w:tcBorders>
              <w:top w:val="nil"/>
              <w:left w:val="nil"/>
              <w:bottom w:val="nil"/>
              <w:right w:val="nil"/>
            </w:tcBorders>
            <w:hideMark/>
          </w:tcPr>
          <w:p w14:paraId="222705AF"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-8,6</w:t>
            </w:r>
          </w:p>
        </w:tc>
        <w:tc>
          <w:tcPr>
            <w:tcW w:w="986" w:type="dxa"/>
            <w:tcBorders>
              <w:top w:val="nil"/>
              <w:left w:val="nil"/>
              <w:bottom w:val="nil"/>
              <w:right w:val="nil"/>
            </w:tcBorders>
            <w:hideMark/>
          </w:tcPr>
          <w:p w14:paraId="4E11D99F"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16,8</w:t>
            </w:r>
          </w:p>
        </w:tc>
        <w:tc>
          <w:tcPr>
            <w:tcW w:w="1027" w:type="dxa"/>
            <w:tcBorders>
              <w:top w:val="nil"/>
              <w:left w:val="nil"/>
              <w:bottom w:val="nil"/>
              <w:right w:val="nil"/>
            </w:tcBorders>
            <w:hideMark/>
          </w:tcPr>
          <w:p w14:paraId="1DD69ACE"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0,4</w:t>
            </w:r>
          </w:p>
        </w:tc>
        <w:tc>
          <w:tcPr>
            <w:tcW w:w="841" w:type="dxa"/>
            <w:tcBorders>
              <w:top w:val="nil"/>
              <w:left w:val="nil"/>
              <w:bottom w:val="nil"/>
              <w:right w:val="nil"/>
            </w:tcBorders>
            <w:hideMark/>
          </w:tcPr>
          <w:p w14:paraId="4CFD95D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8,9</w:t>
            </w:r>
          </w:p>
        </w:tc>
        <w:tc>
          <w:tcPr>
            <w:tcW w:w="856" w:type="dxa"/>
            <w:tcBorders>
              <w:top w:val="nil"/>
              <w:left w:val="nil"/>
              <w:bottom w:val="nil"/>
              <w:right w:val="nil"/>
            </w:tcBorders>
            <w:hideMark/>
          </w:tcPr>
          <w:p w14:paraId="376A6479"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-4,9</w:t>
            </w:r>
          </w:p>
        </w:tc>
      </w:tr>
      <w:tr w:rsidR="00C67D4D" w:rsidRPr="000A74BB" w14:paraId="4ED0570F" w14:textId="77777777" w:rsidTr="00C67D4D">
        <w:trPr>
          <w:trHeight w:val="309"/>
          <w:jc w:val="center"/>
        </w:trPr>
        <w:tc>
          <w:tcPr>
            <w:tcW w:w="4283" w:type="dxa"/>
            <w:tcBorders>
              <w:top w:val="nil"/>
              <w:left w:val="nil"/>
              <w:bottom w:val="nil"/>
              <w:right w:val="nil"/>
            </w:tcBorders>
            <w:shd w:val="clear" w:color="auto" w:fill="FFFFFF"/>
            <w:noWrap/>
            <w:hideMark/>
          </w:tcPr>
          <w:p w14:paraId="3830A09C"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sản phẩm từ cao su và plastic</w:t>
            </w:r>
          </w:p>
        </w:tc>
        <w:tc>
          <w:tcPr>
            <w:tcW w:w="999" w:type="dxa"/>
            <w:tcBorders>
              <w:top w:val="nil"/>
              <w:left w:val="nil"/>
              <w:bottom w:val="nil"/>
              <w:right w:val="nil"/>
            </w:tcBorders>
            <w:hideMark/>
          </w:tcPr>
          <w:p w14:paraId="3C8E605B"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3,1</w:t>
            </w:r>
          </w:p>
        </w:tc>
        <w:tc>
          <w:tcPr>
            <w:tcW w:w="986" w:type="dxa"/>
            <w:tcBorders>
              <w:top w:val="nil"/>
              <w:left w:val="nil"/>
              <w:bottom w:val="nil"/>
              <w:right w:val="nil"/>
            </w:tcBorders>
            <w:hideMark/>
          </w:tcPr>
          <w:p w14:paraId="3D135B2D"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-8,0</w:t>
            </w:r>
          </w:p>
        </w:tc>
        <w:tc>
          <w:tcPr>
            <w:tcW w:w="1027" w:type="dxa"/>
            <w:tcBorders>
              <w:top w:val="nil"/>
              <w:left w:val="nil"/>
              <w:bottom w:val="nil"/>
              <w:right w:val="nil"/>
            </w:tcBorders>
            <w:hideMark/>
          </w:tcPr>
          <w:p w14:paraId="2A9D9834"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8,1</w:t>
            </w:r>
          </w:p>
        </w:tc>
        <w:tc>
          <w:tcPr>
            <w:tcW w:w="841" w:type="dxa"/>
            <w:tcBorders>
              <w:top w:val="nil"/>
              <w:left w:val="nil"/>
              <w:bottom w:val="nil"/>
              <w:right w:val="nil"/>
            </w:tcBorders>
            <w:hideMark/>
          </w:tcPr>
          <w:p w14:paraId="7AE4C7F9"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29,2</w:t>
            </w:r>
          </w:p>
        </w:tc>
        <w:tc>
          <w:tcPr>
            <w:tcW w:w="856" w:type="dxa"/>
            <w:tcBorders>
              <w:top w:val="nil"/>
              <w:left w:val="nil"/>
              <w:bottom w:val="nil"/>
              <w:right w:val="nil"/>
            </w:tcBorders>
            <w:hideMark/>
          </w:tcPr>
          <w:p w14:paraId="35D8876E"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16,9</w:t>
            </w:r>
          </w:p>
        </w:tc>
      </w:tr>
      <w:tr w:rsidR="00C67D4D" w:rsidRPr="000A74BB" w14:paraId="3C71914B" w14:textId="77777777" w:rsidTr="00C67D4D">
        <w:trPr>
          <w:trHeight w:val="309"/>
          <w:jc w:val="center"/>
        </w:trPr>
        <w:tc>
          <w:tcPr>
            <w:tcW w:w="4283" w:type="dxa"/>
            <w:tcBorders>
              <w:top w:val="nil"/>
              <w:left w:val="nil"/>
              <w:bottom w:val="nil"/>
              <w:right w:val="nil"/>
            </w:tcBorders>
            <w:shd w:val="clear" w:color="auto" w:fill="FFFFFF"/>
            <w:noWrap/>
            <w:hideMark/>
          </w:tcPr>
          <w:p w14:paraId="29A8BAF5"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sản phẩm từ khoáng phi kim loại khác</w:t>
            </w:r>
          </w:p>
        </w:tc>
        <w:tc>
          <w:tcPr>
            <w:tcW w:w="999" w:type="dxa"/>
            <w:tcBorders>
              <w:top w:val="nil"/>
              <w:left w:val="nil"/>
              <w:bottom w:val="nil"/>
              <w:right w:val="nil"/>
            </w:tcBorders>
            <w:hideMark/>
          </w:tcPr>
          <w:p w14:paraId="4919210B"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5,4</w:t>
            </w:r>
          </w:p>
        </w:tc>
        <w:tc>
          <w:tcPr>
            <w:tcW w:w="986" w:type="dxa"/>
            <w:tcBorders>
              <w:top w:val="nil"/>
              <w:left w:val="nil"/>
              <w:bottom w:val="nil"/>
              <w:right w:val="nil"/>
            </w:tcBorders>
            <w:hideMark/>
          </w:tcPr>
          <w:p w14:paraId="64158D3E"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6,3</w:t>
            </w:r>
          </w:p>
        </w:tc>
        <w:tc>
          <w:tcPr>
            <w:tcW w:w="1027" w:type="dxa"/>
            <w:tcBorders>
              <w:top w:val="nil"/>
              <w:left w:val="nil"/>
              <w:bottom w:val="nil"/>
              <w:right w:val="nil"/>
            </w:tcBorders>
            <w:hideMark/>
          </w:tcPr>
          <w:p w14:paraId="29D8731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-4,8</w:t>
            </w:r>
          </w:p>
        </w:tc>
        <w:tc>
          <w:tcPr>
            <w:tcW w:w="841" w:type="dxa"/>
            <w:tcBorders>
              <w:top w:val="nil"/>
              <w:left w:val="nil"/>
              <w:bottom w:val="nil"/>
              <w:right w:val="nil"/>
            </w:tcBorders>
            <w:hideMark/>
          </w:tcPr>
          <w:p w14:paraId="6FC424F3"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-1,7</w:t>
            </w:r>
          </w:p>
        </w:tc>
        <w:tc>
          <w:tcPr>
            <w:tcW w:w="856" w:type="dxa"/>
            <w:tcBorders>
              <w:top w:val="nil"/>
              <w:left w:val="nil"/>
              <w:bottom w:val="nil"/>
              <w:right w:val="nil"/>
            </w:tcBorders>
            <w:hideMark/>
          </w:tcPr>
          <w:p w14:paraId="52CA782F"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14,8</w:t>
            </w:r>
          </w:p>
        </w:tc>
      </w:tr>
      <w:tr w:rsidR="00C67D4D" w:rsidRPr="000A74BB" w14:paraId="0B14350F" w14:textId="77777777" w:rsidTr="00C67D4D">
        <w:trPr>
          <w:trHeight w:val="309"/>
          <w:jc w:val="center"/>
        </w:trPr>
        <w:tc>
          <w:tcPr>
            <w:tcW w:w="4283" w:type="dxa"/>
            <w:tcBorders>
              <w:top w:val="nil"/>
              <w:left w:val="nil"/>
              <w:bottom w:val="nil"/>
              <w:right w:val="nil"/>
            </w:tcBorders>
            <w:shd w:val="clear" w:color="auto" w:fill="FFFFFF"/>
            <w:noWrap/>
            <w:hideMark/>
          </w:tcPr>
          <w:p w14:paraId="6BDFCB80"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kim loại</w:t>
            </w:r>
          </w:p>
        </w:tc>
        <w:tc>
          <w:tcPr>
            <w:tcW w:w="999" w:type="dxa"/>
            <w:tcBorders>
              <w:top w:val="nil"/>
              <w:left w:val="nil"/>
              <w:bottom w:val="nil"/>
              <w:right w:val="nil"/>
            </w:tcBorders>
            <w:hideMark/>
          </w:tcPr>
          <w:p w14:paraId="038EE4DD"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33,4</w:t>
            </w:r>
          </w:p>
        </w:tc>
        <w:tc>
          <w:tcPr>
            <w:tcW w:w="986" w:type="dxa"/>
            <w:tcBorders>
              <w:top w:val="nil"/>
              <w:left w:val="nil"/>
              <w:bottom w:val="nil"/>
              <w:right w:val="nil"/>
            </w:tcBorders>
            <w:hideMark/>
          </w:tcPr>
          <w:p w14:paraId="1BEEB366" w14:textId="4581D48B" w:rsidR="00C67D4D" w:rsidRPr="008B5944" w:rsidRDefault="00C67D4D" w:rsidP="00C67D4D">
            <w:pPr>
              <w:spacing w:before="20" w:after="20" w:line="256" w:lineRule="auto"/>
              <w:jc w:val="right"/>
              <w:rPr>
                <w:rFonts w:ascii="Arial" w:hAnsi="Arial" w:cs="Arial"/>
                <w:sz w:val="20"/>
                <w:szCs w:val="20"/>
              </w:rPr>
            </w:pPr>
            <w:r w:rsidRPr="000A74BB">
              <w:rPr>
                <w:rFonts w:ascii="Arial" w:hAnsi="Arial" w:cs="Arial"/>
                <w:sz w:val="20"/>
                <w:szCs w:val="20"/>
                <w:lang w:val="vi-VN"/>
              </w:rPr>
              <w:t>0,0</w:t>
            </w:r>
            <w:r w:rsidR="00FF3631">
              <w:rPr>
                <w:rFonts w:ascii="Arial" w:hAnsi="Arial" w:cs="Arial"/>
                <w:sz w:val="20"/>
                <w:szCs w:val="20"/>
              </w:rPr>
              <w:t>2</w:t>
            </w:r>
          </w:p>
        </w:tc>
        <w:tc>
          <w:tcPr>
            <w:tcW w:w="1027" w:type="dxa"/>
            <w:tcBorders>
              <w:top w:val="nil"/>
              <w:left w:val="nil"/>
              <w:bottom w:val="nil"/>
              <w:right w:val="nil"/>
            </w:tcBorders>
            <w:hideMark/>
          </w:tcPr>
          <w:p w14:paraId="2F6523FA"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-1,7</w:t>
            </w:r>
          </w:p>
        </w:tc>
        <w:tc>
          <w:tcPr>
            <w:tcW w:w="841" w:type="dxa"/>
            <w:tcBorders>
              <w:top w:val="nil"/>
              <w:left w:val="nil"/>
              <w:bottom w:val="nil"/>
              <w:right w:val="nil"/>
            </w:tcBorders>
            <w:hideMark/>
          </w:tcPr>
          <w:p w14:paraId="5621F214"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12,3</w:t>
            </w:r>
          </w:p>
        </w:tc>
        <w:tc>
          <w:tcPr>
            <w:tcW w:w="856" w:type="dxa"/>
            <w:tcBorders>
              <w:top w:val="nil"/>
              <w:left w:val="nil"/>
              <w:bottom w:val="nil"/>
              <w:right w:val="nil"/>
            </w:tcBorders>
            <w:hideMark/>
          </w:tcPr>
          <w:p w14:paraId="6F50D54F"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10,1</w:t>
            </w:r>
          </w:p>
        </w:tc>
      </w:tr>
      <w:tr w:rsidR="00C67D4D" w:rsidRPr="000A74BB" w14:paraId="491D014D" w14:textId="77777777" w:rsidTr="00C67D4D">
        <w:trPr>
          <w:trHeight w:val="309"/>
          <w:jc w:val="center"/>
        </w:trPr>
        <w:tc>
          <w:tcPr>
            <w:tcW w:w="4283" w:type="dxa"/>
            <w:tcBorders>
              <w:top w:val="nil"/>
              <w:left w:val="nil"/>
              <w:bottom w:val="nil"/>
              <w:right w:val="nil"/>
            </w:tcBorders>
            <w:shd w:val="clear" w:color="auto" w:fill="FFFFFF"/>
            <w:noWrap/>
            <w:hideMark/>
          </w:tcPr>
          <w:p w14:paraId="21442F95"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sản phẩm từ kim loại đúc sẵn (trừ máy móc, thiết bị)</w:t>
            </w:r>
          </w:p>
        </w:tc>
        <w:tc>
          <w:tcPr>
            <w:tcW w:w="999" w:type="dxa"/>
            <w:tcBorders>
              <w:top w:val="nil"/>
              <w:left w:val="nil"/>
              <w:bottom w:val="nil"/>
              <w:right w:val="nil"/>
            </w:tcBorders>
            <w:hideMark/>
          </w:tcPr>
          <w:p w14:paraId="4FE22445"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8,7</w:t>
            </w:r>
          </w:p>
        </w:tc>
        <w:tc>
          <w:tcPr>
            <w:tcW w:w="986" w:type="dxa"/>
            <w:tcBorders>
              <w:top w:val="nil"/>
              <w:left w:val="nil"/>
              <w:bottom w:val="nil"/>
              <w:right w:val="nil"/>
            </w:tcBorders>
            <w:hideMark/>
          </w:tcPr>
          <w:p w14:paraId="31964D4C"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9,8</w:t>
            </w:r>
          </w:p>
        </w:tc>
        <w:tc>
          <w:tcPr>
            <w:tcW w:w="1027" w:type="dxa"/>
            <w:tcBorders>
              <w:top w:val="nil"/>
              <w:left w:val="nil"/>
              <w:bottom w:val="nil"/>
              <w:right w:val="nil"/>
            </w:tcBorders>
            <w:hideMark/>
          </w:tcPr>
          <w:p w14:paraId="6E203B77"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5,5</w:t>
            </w:r>
          </w:p>
        </w:tc>
        <w:tc>
          <w:tcPr>
            <w:tcW w:w="841" w:type="dxa"/>
            <w:tcBorders>
              <w:top w:val="nil"/>
              <w:left w:val="nil"/>
              <w:bottom w:val="nil"/>
              <w:right w:val="nil"/>
            </w:tcBorders>
            <w:hideMark/>
          </w:tcPr>
          <w:p w14:paraId="659642C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12,9</w:t>
            </w:r>
          </w:p>
        </w:tc>
        <w:tc>
          <w:tcPr>
            <w:tcW w:w="856" w:type="dxa"/>
            <w:tcBorders>
              <w:top w:val="nil"/>
              <w:left w:val="nil"/>
              <w:bottom w:val="nil"/>
              <w:right w:val="nil"/>
            </w:tcBorders>
            <w:hideMark/>
          </w:tcPr>
          <w:p w14:paraId="508CEAEA"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11,0</w:t>
            </w:r>
          </w:p>
        </w:tc>
      </w:tr>
      <w:tr w:rsidR="00C67D4D" w:rsidRPr="000A74BB" w14:paraId="0CDFA8F5" w14:textId="77777777" w:rsidTr="00C67D4D">
        <w:trPr>
          <w:trHeight w:val="309"/>
          <w:jc w:val="center"/>
        </w:trPr>
        <w:tc>
          <w:tcPr>
            <w:tcW w:w="4283" w:type="dxa"/>
            <w:tcBorders>
              <w:top w:val="nil"/>
              <w:left w:val="nil"/>
              <w:bottom w:val="nil"/>
              <w:right w:val="nil"/>
            </w:tcBorders>
            <w:shd w:val="clear" w:color="auto" w:fill="FFFFFF"/>
            <w:noWrap/>
            <w:hideMark/>
          </w:tcPr>
          <w:p w14:paraId="78C7CF32"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sản phẩm điện tử, máy vi tính và sản phẩm quang học</w:t>
            </w:r>
          </w:p>
        </w:tc>
        <w:tc>
          <w:tcPr>
            <w:tcW w:w="999" w:type="dxa"/>
            <w:tcBorders>
              <w:top w:val="nil"/>
              <w:left w:val="nil"/>
              <w:bottom w:val="nil"/>
              <w:right w:val="nil"/>
            </w:tcBorders>
            <w:hideMark/>
          </w:tcPr>
          <w:p w14:paraId="2464A46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10,7</w:t>
            </w:r>
          </w:p>
        </w:tc>
        <w:tc>
          <w:tcPr>
            <w:tcW w:w="986" w:type="dxa"/>
            <w:tcBorders>
              <w:top w:val="nil"/>
              <w:left w:val="nil"/>
              <w:bottom w:val="nil"/>
              <w:right w:val="nil"/>
            </w:tcBorders>
            <w:hideMark/>
          </w:tcPr>
          <w:p w14:paraId="4403EB5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11,6</w:t>
            </w:r>
          </w:p>
        </w:tc>
        <w:tc>
          <w:tcPr>
            <w:tcW w:w="1027" w:type="dxa"/>
            <w:tcBorders>
              <w:top w:val="nil"/>
              <w:left w:val="nil"/>
              <w:bottom w:val="nil"/>
              <w:right w:val="nil"/>
            </w:tcBorders>
            <w:hideMark/>
          </w:tcPr>
          <w:p w14:paraId="65686655"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-4,2</w:t>
            </w:r>
          </w:p>
        </w:tc>
        <w:tc>
          <w:tcPr>
            <w:tcW w:w="841" w:type="dxa"/>
            <w:tcBorders>
              <w:top w:val="nil"/>
              <w:left w:val="nil"/>
              <w:bottom w:val="nil"/>
              <w:right w:val="nil"/>
            </w:tcBorders>
            <w:hideMark/>
          </w:tcPr>
          <w:p w14:paraId="712AC323"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11,2</w:t>
            </w:r>
          </w:p>
        </w:tc>
        <w:tc>
          <w:tcPr>
            <w:tcW w:w="856" w:type="dxa"/>
            <w:tcBorders>
              <w:top w:val="nil"/>
              <w:left w:val="nil"/>
              <w:bottom w:val="nil"/>
              <w:right w:val="nil"/>
            </w:tcBorders>
            <w:hideMark/>
          </w:tcPr>
          <w:p w14:paraId="108D0403"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7,9</w:t>
            </w:r>
          </w:p>
        </w:tc>
      </w:tr>
      <w:tr w:rsidR="00C67D4D" w:rsidRPr="000A74BB" w14:paraId="3CDD22E8" w14:textId="77777777" w:rsidTr="00C67D4D">
        <w:trPr>
          <w:trHeight w:val="309"/>
          <w:jc w:val="center"/>
        </w:trPr>
        <w:tc>
          <w:tcPr>
            <w:tcW w:w="4283" w:type="dxa"/>
            <w:tcBorders>
              <w:top w:val="nil"/>
              <w:left w:val="nil"/>
              <w:bottom w:val="nil"/>
              <w:right w:val="nil"/>
            </w:tcBorders>
            <w:shd w:val="clear" w:color="auto" w:fill="FFFFFF"/>
            <w:noWrap/>
            <w:hideMark/>
          </w:tcPr>
          <w:p w14:paraId="7B616584"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thiết bị điện</w:t>
            </w:r>
          </w:p>
        </w:tc>
        <w:tc>
          <w:tcPr>
            <w:tcW w:w="999" w:type="dxa"/>
            <w:tcBorders>
              <w:top w:val="nil"/>
              <w:left w:val="nil"/>
              <w:bottom w:val="nil"/>
              <w:right w:val="nil"/>
            </w:tcBorders>
            <w:hideMark/>
          </w:tcPr>
          <w:p w14:paraId="628060BA"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7,1</w:t>
            </w:r>
          </w:p>
        </w:tc>
        <w:tc>
          <w:tcPr>
            <w:tcW w:w="986" w:type="dxa"/>
            <w:tcBorders>
              <w:top w:val="nil"/>
              <w:left w:val="nil"/>
              <w:bottom w:val="nil"/>
              <w:right w:val="nil"/>
            </w:tcBorders>
            <w:hideMark/>
          </w:tcPr>
          <w:p w14:paraId="720BAF6F"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20,2</w:t>
            </w:r>
          </w:p>
        </w:tc>
        <w:tc>
          <w:tcPr>
            <w:tcW w:w="1027" w:type="dxa"/>
            <w:tcBorders>
              <w:top w:val="nil"/>
              <w:left w:val="nil"/>
              <w:bottom w:val="nil"/>
              <w:right w:val="nil"/>
            </w:tcBorders>
            <w:hideMark/>
          </w:tcPr>
          <w:p w14:paraId="45563CCB"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1,4</w:t>
            </w:r>
          </w:p>
        </w:tc>
        <w:tc>
          <w:tcPr>
            <w:tcW w:w="841" w:type="dxa"/>
            <w:tcBorders>
              <w:top w:val="nil"/>
              <w:left w:val="nil"/>
              <w:bottom w:val="nil"/>
              <w:right w:val="nil"/>
            </w:tcBorders>
            <w:hideMark/>
          </w:tcPr>
          <w:p w14:paraId="1867212C"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11,9</w:t>
            </w:r>
          </w:p>
        </w:tc>
        <w:tc>
          <w:tcPr>
            <w:tcW w:w="856" w:type="dxa"/>
            <w:tcBorders>
              <w:top w:val="nil"/>
              <w:left w:val="nil"/>
              <w:bottom w:val="nil"/>
              <w:right w:val="nil"/>
            </w:tcBorders>
            <w:hideMark/>
          </w:tcPr>
          <w:p w14:paraId="47705E44"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3,0</w:t>
            </w:r>
          </w:p>
        </w:tc>
      </w:tr>
      <w:tr w:rsidR="00C67D4D" w:rsidRPr="000A74BB" w14:paraId="4F791673" w14:textId="77777777" w:rsidTr="00C67D4D">
        <w:trPr>
          <w:trHeight w:val="309"/>
          <w:jc w:val="center"/>
        </w:trPr>
        <w:tc>
          <w:tcPr>
            <w:tcW w:w="4283" w:type="dxa"/>
            <w:tcBorders>
              <w:top w:val="nil"/>
              <w:left w:val="nil"/>
              <w:bottom w:val="nil"/>
              <w:right w:val="nil"/>
            </w:tcBorders>
            <w:shd w:val="clear" w:color="auto" w:fill="FFFFFF"/>
            <w:noWrap/>
            <w:hideMark/>
          </w:tcPr>
          <w:p w14:paraId="0A90EDB5"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xe có động cơ</w:t>
            </w:r>
          </w:p>
        </w:tc>
        <w:tc>
          <w:tcPr>
            <w:tcW w:w="999" w:type="dxa"/>
            <w:tcBorders>
              <w:top w:val="nil"/>
              <w:left w:val="nil"/>
              <w:bottom w:val="nil"/>
              <w:right w:val="nil"/>
            </w:tcBorders>
            <w:hideMark/>
          </w:tcPr>
          <w:p w14:paraId="74FC00E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28,3</w:t>
            </w:r>
          </w:p>
        </w:tc>
        <w:tc>
          <w:tcPr>
            <w:tcW w:w="986" w:type="dxa"/>
            <w:tcBorders>
              <w:top w:val="nil"/>
              <w:left w:val="nil"/>
              <w:bottom w:val="nil"/>
              <w:right w:val="nil"/>
            </w:tcBorders>
            <w:hideMark/>
          </w:tcPr>
          <w:p w14:paraId="02BBC16A"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0,9</w:t>
            </w:r>
          </w:p>
        </w:tc>
        <w:tc>
          <w:tcPr>
            <w:tcW w:w="1027" w:type="dxa"/>
            <w:tcBorders>
              <w:top w:val="nil"/>
              <w:left w:val="nil"/>
              <w:bottom w:val="nil"/>
              <w:right w:val="nil"/>
            </w:tcBorders>
            <w:hideMark/>
          </w:tcPr>
          <w:p w14:paraId="77F7C02B"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-7,3</w:t>
            </w:r>
          </w:p>
        </w:tc>
        <w:tc>
          <w:tcPr>
            <w:tcW w:w="841" w:type="dxa"/>
            <w:tcBorders>
              <w:top w:val="nil"/>
              <w:left w:val="nil"/>
              <w:bottom w:val="nil"/>
              <w:right w:val="nil"/>
            </w:tcBorders>
            <w:hideMark/>
          </w:tcPr>
          <w:p w14:paraId="76942875"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8,1</w:t>
            </w:r>
          </w:p>
        </w:tc>
        <w:tc>
          <w:tcPr>
            <w:tcW w:w="856" w:type="dxa"/>
            <w:tcBorders>
              <w:top w:val="nil"/>
              <w:left w:val="nil"/>
              <w:bottom w:val="nil"/>
              <w:right w:val="nil"/>
            </w:tcBorders>
            <w:hideMark/>
          </w:tcPr>
          <w:p w14:paraId="2CE10492"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29,9</w:t>
            </w:r>
          </w:p>
        </w:tc>
      </w:tr>
      <w:tr w:rsidR="00C67D4D" w:rsidRPr="000A74BB" w14:paraId="2E83174D" w14:textId="77777777" w:rsidTr="00C67D4D">
        <w:trPr>
          <w:trHeight w:val="309"/>
          <w:jc w:val="center"/>
        </w:trPr>
        <w:tc>
          <w:tcPr>
            <w:tcW w:w="4283" w:type="dxa"/>
            <w:tcBorders>
              <w:top w:val="nil"/>
              <w:left w:val="nil"/>
              <w:bottom w:val="nil"/>
              <w:right w:val="nil"/>
            </w:tcBorders>
            <w:shd w:val="clear" w:color="auto" w:fill="FFFFFF"/>
            <w:noWrap/>
            <w:hideMark/>
          </w:tcPr>
          <w:p w14:paraId="735F2991"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phương tiện vận tải khác</w:t>
            </w:r>
          </w:p>
        </w:tc>
        <w:tc>
          <w:tcPr>
            <w:tcW w:w="999" w:type="dxa"/>
            <w:tcBorders>
              <w:top w:val="nil"/>
              <w:left w:val="nil"/>
              <w:bottom w:val="nil"/>
              <w:right w:val="nil"/>
            </w:tcBorders>
            <w:hideMark/>
          </w:tcPr>
          <w:p w14:paraId="24CAA02E"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6,7</w:t>
            </w:r>
          </w:p>
        </w:tc>
        <w:tc>
          <w:tcPr>
            <w:tcW w:w="986" w:type="dxa"/>
            <w:tcBorders>
              <w:top w:val="nil"/>
              <w:left w:val="nil"/>
              <w:bottom w:val="nil"/>
              <w:right w:val="nil"/>
            </w:tcBorders>
            <w:hideMark/>
          </w:tcPr>
          <w:p w14:paraId="0C6FCBF9"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-1,4</w:t>
            </w:r>
          </w:p>
        </w:tc>
        <w:tc>
          <w:tcPr>
            <w:tcW w:w="1027" w:type="dxa"/>
            <w:tcBorders>
              <w:top w:val="nil"/>
              <w:left w:val="nil"/>
              <w:bottom w:val="nil"/>
              <w:right w:val="nil"/>
            </w:tcBorders>
            <w:hideMark/>
          </w:tcPr>
          <w:p w14:paraId="37F0B8F8"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-4,2</w:t>
            </w:r>
          </w:p>
        </w:tc>
        <w:tc>
          <w:tcPr>
            <w:tcW w:w="841" w:type="dxa"/>
            <w:tcBorders>
              <w:top w:val="nil"/>
              <w:left w:val="nil"/>
              <w:bottom w:val="nil"/>
              <w:right w:val="nil"/>
            </w:tcBorders>
            <w:hideMark/>
          </w:tcPr>
          <w:p w14:paraId="28F4CDB3"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1,5</w:t>
            </w:r>
          </w:p>
        </w:tc>
        <w:tc>
          <w:tcPr>
            <w:tcW w:w="856" w:type="dxa"/>
            <w:tcBorders>
              <w:top w:val="nil"/>
              <w:left w:val="nil"/>
              <w:bottom w:val="nil"/>
              <w:right w:val="nil"/>
            </w:tcBorders>
            <w:hideMark/>
          </w:tcPr>
          <w:p w14:paraId="52840A11"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12,2</w:t>
            </w:r>
          </w:p>
        </w:tc>
      </w:tr>
      <w:tr w:rsidR="00C67D4D" w:rsidRPr="000A74BB" w14:paraId="174A954A" w14:textId="77777777" w:rsidTr="00C67D4D">
        <w:trPr>
          <w:trHeight w:val="309"/>
          <w:jc w:val="center"/>
        </w:trPr>
        <w:tc>
          <w:tcPr>
            <w:tcW w:w="4283" w:type="dxa"/>
            <w:tcBorders>
              <w:top w:val="nil"/>
              <w:left w:val="nil"/>
              <w:bottom w:val="nil"/>
              <w:right w:val="nil"/>
            </w:tcBorders>
            <w:shd w:val="clear" w:color="auto" w:fill="FFFFFF"/>
            <w:noWrap/>
            <w:hideMark/>
          </w:tcPr>
          <w:p w14:paraId="7621B8BD" w14:textId="77777777" w:rsidR="00C67D4D" w:rsidRPr="000A74BB" w:rsidRDefault="00C67D4D" w:rsidP="00C67D4D">
            <w:pPr>
              <w:spacing w:before="20" w:after="20" w:line="256" w:lineRule="auto"/>
              <w:rPr>
                <w:rFonts w:ascii="Arial" w:hAnsi="Arial" w:cs="Arial"/>
                <w:sz w:val="20"/>
                <w:szCs w:val="20"/>
                <w:lang w:val="vi-VN"/>
              </w:rPr>
            </w:pPr>
            <w:r w:rsidRPr="000A74BB">
              <w:rPr>
                <w:rFonts w:ascii="Arial" w:hAnsi="Arial" w:cs="Arial"/>
                <w:sz w:val="20"/>
                <w:szCs w:val="20"/>
                <w:lang w:val="vi-VN"/>
              </w:rPr>
              <w:t>Sản xuất giường, tủ, bàn, ghế</w:t>
            </w:r>
          </w:p>
        </w:tc>
        <w:tc>
          <w:tcPr>
            <w:tcW w:w="999" w:type="dxa"/>
            <w:tcBorders>
              <w:top w:val="nil"/>
              <w:left w:val="nil"/>
              <w:bottom w:val="nil"/>
              <w:right w:val="nil"/>
            </w:tcBorders>
            <w:hideMark/>
          </w:tcPr>
          <w:p w14:paraId="06B92DB7"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13,1</w:t>
            </w:r>
          </w:p>
        </w:tc>
        <w:tc>
          <w:tcPr>
            <w:tcW w:w="986" w:type="dxa"/>
            <w:tcBorders>
              <w:top w:val="nil"/>
              <w:left w:val="nil"/>
              <w:bottom w:val="nil"/>
              <w:right w:val="nil"/>
            </w:tcBorders>
            <w:hideMark/>
          </w:tcPr>
          <w:p w14:paraId="091B6D1F"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4,3</w:t>
            </w:r>
          </w:p>
        </w:tc>
        <w:tc>
          <w:tcPr>
            <w:tcW w:w="1027" w:type="dxa"/>
            <w:tcBorders>
              <w:top w:val="nil"/>
              <w:left w:val="nil"/>
              <w:bottom w:val="nil"/>
              <w:right w:val="nil"/>
            </w:tcBorders>
            <w:hideMark/>
          </w:tcPr>
          <w:p w14:paraId="7C35F51B"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-1,2</w:t>
            </w:r>
          </w:p>
        </w:tc>
        <w:tc>
          <w:tcPr>
            <w:tcW w:w="841" w:type="dxa"/>
            <w:tcBorders>
              <w:top w:val="nil"/>
              <w:left w:val="nil"/>
              <w:bottom w:val="nil"/>
              <w:right w:val="nil"/>
            </w:tcBorders>
            <w:hideMark/>
          </w:tcPr>
          <w:p w14:paraId="3D090B83"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21,0</w:t>
            </w:r>
          </w:p>
        </w:tc>
        <w:tc>
          <w:tcPr>
            <w:tcW w:w="856" w:type="dxa"/>
            <w:tcBorders>
              <w:top w:val="nil"/>
              <w:left w:val="nil"/>
              <w:bottom w:val="nil"/>
              <w:right w:val="nil"/>
            </w:tcBorders>
            <w:hideMark/>
          </w:tcPr>
          <w:p w14:paraId="1F0B806D" w14:textId="77777777" w:rsidR="00C67D4D" w:rsidRPr="000A74BB" w:rsidRDefault="00C67D4D" w:rsidP="00C67D4D">
            <w:pPr>
              <w:spacing w:before="20" w:after="20" w:line="256" w:lineRule="auto"/>
              <w:jc w:val="right"/>
              <w:rPr>
                <w:rFonts w:ascii="Arial" w:hAnsi="Arial" w:cs="Arial"/>
                <w:sz w:val="20"/>
                <w:szCs w:val="20"/>
                <w:lang w:val="vi-VN"/>
              </w:rPr>
            </w:pPr>
            <w:r w:rsidRPr="000A74BB">
              <w:rPr>
                <w:rFonts w:ascii="Arial" w:hAnsi="Arial" w:cs="Arial"/>
                <w:sz w:val="20"/>
                <w:szCs w:val="20"/>
                <w:lang w:val="vi-VN"/>
              </w:rPr>
              <w:t>10,9</w:t>
            </w:r>
          </w:p>
        </w:tc>
      </w:tr>
    </w:tbl>
    <w:p w14:paraId="234DFA7F" w14:textId="77777777" w:rsidR="00C67D4D" w:rsidRPr="000A74BB" w:rsidRDefault="00C67D4D" w:rsidP="005952D3">
      <w:pPr>
        <w:shd w:val="clear" w:color="auto" w:fill="FFFFFF"/>
        <w:spacing w:before="120" w:after="120" w:line="264" w:lineRule="auto"/>
        <w:ind w:firstLine="720"/>
        <w:jc w:val="both"/>
        <w:rPr>
          <w:lang w:val="pl-PL"/>
        </w:rPr>
      </w:pPr>
      <w:r w:rsidRPr="000A74BB">
        <w:rPr>
          <w:i/>
          <w:lang w:val="pl-PL"/>
        </w:rPr>
        <w:lastRenderedPageBreak/>
        <w:t xml:space="preserve">Chỉ số sản xuất công nghiệp bảy </w:t>
      </w:r>
      <w:r w:rsidRPr="000A74BB">
        <w:rPr>
          <w:i/>
          <w:lang w:val="vi-VN"/>
        </w:rPr>
        <w:t>tháng năm 202</w:t>
      </w:r>
      <w:r w:rsidRPr="000A74BB">
        <w:rPr>
          <w:i/>
          <w:lang w:val="pl-PL"/>
        </w:rPr>
        <w:t>5 so với cùng kỳ năm trước tăng ở cả</w:t>
      </w:r>
      <w:r w:rsidRPr="000A74BB">
        <w:rPr>
          <w:i/>
          <w:lang w:val="vi-VN"/>
        </w:rPr>
        <w:t xml:space="preserve"> 34 </w:t>
      </w:r>
      <w:r w:rsidRPr="000A74BB">
        <w:rPr>
          <w:i/>
        </w:rPr>
        <w:t>địa phương</w:t>
      </w:r>
      <w:r w:rsidRPr="000A74BB">
        <w:rPr>
          <w:lang w:val="pl-PL"/>
        </w:rPr>
        <w:t>. Một số địa phương có chỉ số IIP đạt mức tăng khá nhờ ngành công nghiệp chế biến, chế tạo; ngành sản xuất và phân phối điện tăng cao</w:t>
      </w:r>
      <w:r w:rsidRPr="000A74BB">
        <w:rPr>
          <w:rFonts w:eastAsia="DengXian Light"/>
          <w:vertAlign w:val="superscript"/>
          <w:lang w:val="pl-PL"/>
        </w:rPr>
        <w:footnoteReference w:id="7"/>
      </w:r>
      <w:r w:rsidRPr="000A74BB">
        <w:rPr>
          <w:lang w:val="pl-PL"/>
        </w:rPr>
        <w:t>. Ở chiều ngược lại, một số địa phương có chỉ số IIP tăng</w:t>
      </w:r>
      <w:r w:rsidRPr="000A74BB">
        <w:rPr>
          <w:lang w:val="vi-VN"/>
        </w:rPr>
        <w:t xml:space="preserve"> thấp</w:t>
      </w:r>
      <w:r w:rsidRPr="000A74BB">
        <w:rPr>
          <w:lang w:val="pl-PL"/>
        </w:rPr>
        <w:t xml:space="preserve"> do ngành công nghiệp chế biến, chế tạo; ngành khai khoáng và ngành sản xuất, phân phối điện tăng thấp hoặc giảm</w:t>
      </w:r>
      <w:r w:rsidRPr="000A74BB">
        <w:rPr>
          <w:rFonts w:eastAsia="DengXian Light"/>
          <w:vertAlign w:val="superscript"/>
          <w:lang w:val="pl-PL"/>
        </w:rPr>
        <w:footnoteReference w:id="8"/>
      </w:r>
      <w:r w:rsidRPr="000A74BB">
        <w:rPr>
          <w:lang w:val="pl-PL"/>
        </w:rPr>
        <w:t xml:space="preserve">.  </w:t>
      </w:r>
    </w:p>
    <w:p w14:paraId="018F9FF9" w14:textId="498D362B" w:rsidR="00C67D4D" w:rsidRPr="000A74BB" w:rsidRDefault="00C67D4D" w:rsidP="00C67D4D">
      <w:pPr>
        <w:shd w:val="clear" w:color="auto" w:fill="FFFFFF"/>
        <w:spacing w:before="120"/>
        <w:jc w:val="center"/>
        <w:rPr>
          <w:rFonts w:ascii="Arial" w:hAnsi="Arial" w:cs="Arial"/>
          <w:b/>
          <w:bCs/>
          <w:sz w:val="24"/>
          <w:szCs w:val="24"/>
          <w:lang w:val="pl-PL"/>
        </w:rPr>
      </w:pPr>
      <w:r w:rsidRPr="000A74BB">
        <w:rPr>
          <w:rFonts w:ascii="Arial" w:hAnsi="Arial" w:cs="Arial"/>
          <w:b/>
          <w:bCs/>
          <w:sz w:val="24"/>
          <w:szCs w:val="24"/>
          <w:lang w:val="pl-PL"/>
        </w:rPr>
        <w:t>Hình 4. Tốc độ tăng</w:t>
      </w:r>
      <w:r w:rsidR="00497F6C">
        <w:rPr>
          <w:rFonts w:ascii="Arial" w:hAnsi="Arial" w:cs="Arial"/>
          <w:b/>
          <w:bCs/>
          <w:sz w:val="24"/>
          <w:szCs w:val="24"/>
          <w:lang w:val="pl-PL"/>
        </w:rPr>
        <w:t xml:space="preserve">, </w:t>
      </w:r>
      <w:r w:rsidRPr="000A74BB">
        <w:rPr>
          <w:rFonts w:ascii="Arial" w:hAnsi="Arial" w:cs="Arial"/>
          <w:b/>
          <w:bCs/>
          <w:sz w:val="24"/>
          <w:szCs w:val="24"/>
          <w:lang w:val="pl-PL"/>
        </w:rPr>
        <w:t>giảm IIP 7</w:t>
      </w:r>
      <w:r w:rsidRPr="000A74BB">
        <w:rPr>
          <w:rFonts w:ascii="Arial" w:hAnsi="Arial" w:cs="Arial"/>
          <w:b/>
          <w:bCs/>
          <w:sz w:val="24"/>
          <w:szCs w:val="24"/>
          <w:lang w:val="vi-VN"/>
        </w:rPr>
        <w:t xml:space="preserve"> tháng </w:t>
      </w:r>
      <w:r w:rsidRPr="000A74BB">
        <w:rPr>
          <w:rFonts w:ascii="Arial" w:hAnsi="Arial" w:cs="Arial"/>
          <w:b/>
          <w:bCs/>
          <w:sz w:val="24"/>
          <w:szCs w:val="24"/>
          <w:lang w:val="pl-PL"/>
        </w:rPr>
        <w:t>năm 2025</w:t>
      </w:r>
    </w:p>
    <w:p w14:paraId="7DF8D205" w14:textId="77777777" w:rsidR="00C67D4D" w:rsidRPr="000A74BB" w:rsidRDefault="00C67D4D" w:rsidP="00C67D4D">
      <w:pPr>
        <w:shd w:val="clear" w:color="auto" w:fill="FFFFFF"/>
        <w:jc w:val="center"/>
        <w:rPr>
          <w:rFonts w:ascii="Arial" w:hAnsi="Arial" w:cs="Arial"/>
          <w:b/>
          <w:bCs/>
          <w:sz w:val="24"/>
          <w:szCs w:val="24"/>
          <w:lang w:val="pl-PL"/>
        </w:rPr>
      </w:pPr>
      <w:r w:rsidRPr="000A74BB">
        <w:rPr>
          <w:rFonts w:ascii="Arial" w:hAnsi="Arial" w:cs="Arial"/>
          <w:b/>
          <w:bCs/>
          <w:sz w:val="24"/>
          <w:szCs w:val="24"/>
          <w:lang w:val="pl-PL"/>
        </w:rPr>
        <w:t>so với cùng kỳ năm trước</w:t>
      </w:r>
      <w:r w:rsidRPr="000A74BB">
        <w:rPr>
          <w:rFonts w:ascii="Arial" w:hAnsi="Arial" w:cs="Arial"/>
          <w:b/>
          <w:bCs/>
          <w:sz w:val="24"/>
          <w:szCs w:val="24"/>
          <w:lang w:val="vi-VN"/>
        </w:rPr>
        <w:t xml:space="preserve"> </w:t>
      </w:r>
      <w:r w:rsidRPr="000A74BB">
        <w:rPr>
          <w:rFonts w:ascii="Arial" w:hAnsi="Arial" w:cs="Arial"/>
          <w:b/>
          <w:bCs/>
          <w:sz w:val="24"/>
          <w:szCs w:val="24"/>
          <w:lang w:val="pl-PL"/>
        </w:rPr>
        <w:t xml:space="preserve">của một số </w:t>
      </w:r>
      <w:r w:rsidRPr="000A74BB">
        <w:rPr>
          <w:rFonts w:ascii="Arial" w:hAnsi="Arial" w:cs="Arial"/>
          <w:b/>
          <w:bCs/>
          <w:sz w:val="24"/>
          <w:szCs w:val="24"/>
          <w:lang w:val="vi-VN"/>
        </w:rPr>
        <w:t>địa phương</w:t>
      </w:r>
      <w:r w:rsidRPr="000A74BB">
        <w:rPr>
          <w:rFonts w:ascii="Arial" w:hAnsi="Arial" w:cs="Arial"/>
          <w:b/>
          <w:bCs/>
          <w:sz w:val="24"/>
          <w:szCs w:val="24"/>
          <w:lang w:val="pl-PL"/>
        </w:rPr>
        <w:t xml:space="preserve"> </w:t>
      </w:r>
      <w:r w:rsidRPr="000A74BB">
        <w:rPr>
          <w:rFonts w:ascii="Arial" w:hAnsi="Arial" w:cs="Arial"/>
          <w:b/>
          <w:bCs/>
          <w:i/>
          <w:iCs/>
          <w:sz w:val="24"/>
          <w:szCs w:val="24"/>
          <w:lang w:val="pl-PL"/>
        </w:rPr>
        <w:t>(%)</w:t>
      </w:r>
    </w:p>
    <w:p w14:paraId="4D9DFD5B" w14:textId="77777777" w:rsidR="00C67D4D" w:rsidRPr="000A74BB" w:rsidRDefault="00C67D4D" w:rsidP="00C67D4D">
      <w:pPr>
        <w:shd w:val="clear" w:color="auto" w:fill="FFFFFF"/>
        <w:jc w:val="center"/>
        <w:rPr>
          <w:rFonts w:ascii="Arial" w:hAnsi="Arial" w:cs="Arial"/>
          <w:b/>
          <w:bCs/>
          <w:sz w:val="14"/>
          <w:szCs w:val="14"/>
          <w:lang w:val="pl-PL"/>
        </w:rPr>
      </w:pPr>
    </w:p>
    <w:tbl>
      <w:tblPr>
        <w:tblStyle w:val="TableGrid"/>
        <w:tblW w:w="9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66"/>
      </w:tblGrid>
      <w:tr w:rsidR="000A74BB" w:rsidRPr="000A74BB" w14:paraId="0DAC4B46" w14:textId="77777777" w:rsidTr="005952D3">
        <w:trPr>
          <w:trHeight w:val="2459"/>
          <w:jc w:val="center"/>
        </w:trPr>
        <w:tc>
          <w:tcPr>
            <w:tcW w:w="4728" w:type="dxa"/>
            <w:hideMark/>
          </w:tcPr>
          <w:p w14:paraId="410D74E2" w14:textId="77777777" w:rsidR="00C67D4D" w:rsidRPr="000A74BB" w:rsidRDefault="00C67D4D" w:rsidP="00C67D4D">
            <w:pPr>
              <w:jc w:val="center"/>
              <w:rPr>
                <w:rFonts w:ascii="Arial" w:hAnsi="Arial" w:cs="Arial"/>
                <w:b/>
                <w:bCs/>
                <w:sz w:val="18"/>
                <w:szCs w:val="18"/>
                <w:lang w:val="pl-PL"/>
              </w:rPr>
            </w:pPr>
            <w:r w:rsidRPr="000A74BB">
              <w:rPr>
                <w:rFonts w:ascii="Arial" w:hAnsi="Arial" w:cs="Arial"/>
                <w:b/>
                <w:bCs/>
                <w:sz w:val="18"/>
                <w:szCs w:val="18"/>
                <w:lang w:val="pl-PL"/>
              </w:rPr>
              <w:t>10 địa phương có chỉ số IIP tăng cao nhất</w:t>
            </w:r>
          </w:p>
          <w:p w14:paraId="3C49E05D" w14:textId="77777777" w:rsidR="00C67D4D" w:rsidRPr="000A74BB" w:rsidRDefault="00C67D4D" w:rsidP="00C67D4D">
            <w:pPr>
              <w:jc w:val="center"/>
              <w:rPr>
                <w:rFonts w:ascii="Arial" w:hAnsi="Arial" w:cs="Arial"/>
                <w:b/>
                <w:bCs/>
                <w:sz w:val="24"/>
                <w:szCs w:val="24"/>
                <w:lang w:val="pl-PL"/>
              </w:rPr>
            </w:pPr>
            <w:r w:rsidRPr="000A74BB">
              <w:rPr>
                <w:noProof/>
              </w:rPr>
              <w:drawing>
                <wp:inline distT="0" distB="0" distL="0" distR="0" wp14:anchorId="7847C1D7" wp14:editId="0532486E">
                  <wp:extent cx="2864768" cy="1918655"/>
                  <wp:effectExtent l="0" t="0" r="12065" b="5715"/>
                  <wp:docPr id="8" name="Chart 1">
                    <a:extLst xmlns:a="http://schemas.openxmlformats.org/drawingml/2006/main">
                      <a:ext uri="{FF2B5EF4-FFF2-40B4-BE49-F238E27FC236}">
                        <a16:creationId xmlns:a16="http://schemas.microsoft.com/office/drawing/2014/main"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01" w:type="dxa"/>
            <w:hideMark/>
          </w:tcPr>
          <w:p w14:paraId="79311697" w14:textId="77777777" w:rsidR="00C67D4D" w:rsidRPr="000A74BB" w:rsidRDefault="00C67D4D" w:rsidP="00C67D4D">
            <w:pPr>
              <w:jc w:val="center"/>
              <w:rPr>
                <w:rFonts w:ascii="Arial" w:hAnsi="Arial" w:cs="Arial"/>
                <w:b/>
                <w:bCs/>
                <w:spacing w:val="-4"/>
                <w:sz w:val="18"/>
                <w:szCs w:val="18"/>
              </w:rPr>
            </w:pPr>
            <w:r w:rsidRPr="000A74BB">
              <w:rPr>
                <w:rFonts w:ascii="Arial" w:hAnsi="Arial" w:cs="Arial"/>
                <w:b/>
                <w:bCs/>
                <w:spacing w:val="-4"/>
                <w:sz w:val="18"/>
                <w:szCs w:val="18"/>
              </w:rPr>
              <w:t xml:space="preserve">10 địa phương có chỉ số IIP </w:t>
            </w:r>
            <w:r w:rsidRPr="000A74BB">
              <w:rPr>
                <w:rFonts w:ascii="Arial" w:hAnsi="Arial" w:cs="Arial"/>
                <w:b/>
                <w:bCs/>
                <w:spacing w:val="-4"/>
                <w:sz w:val="18"/>
                <w:szCs w:val="18"/>
                <w:lang w:val="pl-PL"/>
              </w:rPr>
              <w:t>tăng thấp nhất</w:t>
            </w:r>
          </w:p>
          <w:p w14:paraId="6B3C91A5" w14:textId="77777777" w:rsidR="00C67D4D" w:rsidRPr="000A74BB" w:rsidRDefault="00C67D4D" w:rsidP="00C67D4D">
            <w:pPr>
              <w:jc w:val="center"/>
              <w:rPr>
                <w:rFonts w:ascii="Arial" w:hAnsi="Arial" w:cs="Arial"/>
                <w:b/>
                <w:bCs/>
                <w:sz w:val="24"/>
                <w:szCs w:val="24"/>
                <w:lang w:val="pl-PL"/>
              </w:rPr>
            </w:pPr>
            <w:r w:rsidRPr="000A74BB">
              <w:rPr>
                <w:noProof/>
              </w:rPr>
              <w:drawing>
                <wp:inline distT="0" distB="0" distL="0" distR="0" wp14:anchorId="15EF3463" wp14:editId="0C955E97">
                  <wp:extent cx="2949337" cy="1923940"/>
                  <wp:effectExtent l="0" t="0" r="3810" b="635"/>
                  <wp:docPr id="12" name="Chart 2">
                    <a:extLst xmlns:a="http://schemas.openxmlformats.org/drawingml/2006/main">
                      <a:ext uri="{FF2B5EF4-FFF2-40B4-BE49-F238E27FC236}">
                        <a16:creationId xmlns:a16="http://schemas.microsoft.com/office/drawing/2014/main"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25D0784D" w14:textId="77777777" w:rsidR="00C67D4D" w:rsidRPr="000A74BB" w:rsidRDefault="00C67D4D" w:rsidP="008B5944">
      <w:pPr>
        <w:shd w:val="clear" w:color="auto" w:fill="FFFFFF"/>
        <w:spacing w:before="120" w:after="120" w:line="264" w:lineRule="auto"/>
        <w:ind w:firstLine="720"/>
        <w:jc w:val="both"/>
        <w:rPr>
          <w:lang w:val="pl-PL"/>
        </w:rPr>
      </w:pPr>
      <w:r w:rsidRPr="000A74BB">
        <w:rPr>
          <w:i/>
          <w:lang w:val="pl-PL"/>
        </w:rPr>
        <w:t>Một số sản phẩm công nghiệp chủ lực</w:t>
      </w:r>
      <w:r w:rsidRPr="000A74BB">
        <w:rPr>
          <w:lang w:val="pl-PL"/>
        </w:rPr>
        <w:t xml:space="preserve"> trong bảy</w:t>
      </w:r>
      <w:r w:rsidRPr="000A74BB">
        <w:rPr>
          <w:lang w:val="vi-VN"/>
        </w:rPr>
        <w:t xml:space="preserve"> tháng năm </w:t>
      </w:r>
      <w:r w:rsidRPr="000A74BB">
        <w:rPr>
          <w:lang w:val="pl-PL"/>
        </w:rPr>
        <w:t>2025 tăng so với cùng kỳ năm trước: Ô tô tăng 64</w:t>
      </w:r>
      <w:r w:rsidRPr="000A74BB">
        <w:rPr>
          <w:lang w:val="vi-VN"/>
        </w:rPr>
        <w:t>,4</w:t>
      </w:r>
      <w:r w:rsidRPr="000A74BB">
        <w:rPr>
          <w:lang w:val="pl-PL"/>
        </w:rPr>
        <w:t>%; tivi tăng 21</w:t>
      </w:r>
      <w:r w:rsidRPr="000A74BB">
        <w:rPr>
          <w:lang w:val="vi-VN"/>
        </w:rPr>
        <w:t>,1</w:t>
      </w:r>
      <w:r w:rsidRPr="000A74BB">
        <w:rPr>
          <w:lang w:val="pl-PL"/>
        </w:rPr>
        <w:t xml:space="preserve">%; </w:t>
      </w:r>
      <w:r w:rsidRPr="000A74BB">
        <w:rPr>
          <w:lang w:val="vi-VN"/>
        </w:rPr>
        <w:t>p</w:t>
      </w:r>
      <w:r w:rsidRPr="000A74BB">
        <w:rPr>
          <w:lang w:val="pl-PL"/>
        </w:rPr>
        <w:t>hân hỗn hợp NPK tăng 19</w:t>
      </w:r>
      <w:r w:rsidRPr="000A74BB">
        <w:rPr>
          <w:lang w:val="vi-VN"/>
        </w:rPr>
        <w:t>,7</w:t>
      </w:r>
      <w:r w:rsidRPr="000A74BB">
        <w:rPr>
          <w:lang w:val="pl-PL"/>
        </w:rPr>
        <w:t xml:space="preserve">%; quần áo mặc thường tăng 14,9%; </w:t>
      </w:r>
      <w:r w:rsidRPr="000A74BB">
        <w:rPr>
          <w:lang w:val="vi-VN"/>
        </w:rPr>
        <w:t>xi măng</w:t>
      </w:r>
      <w:r w:rsidRPr="000A74BB">
        <w:rPr>
          <w:lang w:val="pl-PL"/>
        </w:rPr>
        <w:t xml:space="preserve"> tăng 14,8%; giày, dép da tăng 13</w:t>
      </w:r>
      <w:r w:rsidRPr="000A74BB">
        <w:rPr>
          <w:lang w:val="vi-VN"/>
        </w:rPr>
        <w:t>,6</w:t>
      </w:r>
      <w:r w:rsidRPr="000A74BB">
        <w:rPr>
          <w:lang w:val="pl-PL"/>
        </w:rPr>
        <w:t>%; thức</w:t>
      </w:r>
      <w:r w:rsidRPr="000A74BB">
        <w:rPr>
          <w:lang w:val="vi-VN"/>
        </w:rPr>
        <w:t xml:space="preserve"> ăn cho thủy sản </w:t>
      </w:r>
      <w:r w:rsidRPr="000A74BB">
        <w:rPr>
          <w:lang w:val="pl-PL"/>
        </w:rPr>
        <w:t>tăng 11</w:t>
      </w:r>
      <w:r w:rsidRPr="000A74BB">
        <w:rPr>
          <w:lang w:val="vi-VN"/>
        </w:rPr>
        <w:t>,9</w:t>
      </w:r>
      <w:r w:rsidRPr="000A74BB">
        <w:rPr>
          <w:lang w:val="pl-PL"/>
        </w:rPr>
        <w:t>%; thép</w:t>
      </w:r>
      <w:r w:rsidRPr="000A74BB">
        <w:rPr>
          <w:lang w:val="vi-VN"/>
        </w:rPr>
        <w:t xml:space="preserve"> cán </w:t>
      </w:r>
      <w:r w:rsidRPr="000A74BB">
        <w:rPr>
          <w:lang w:val="pl-PL"/>
        </w:rPr>
        <w:t>tăng 11</w:t>
      </w:r>
      <w:r w:rsidRPr="000A74BB">
        <w:rPr>
          <w:lang w:val="vi-VN"/>
        </w:rPr>
        <w:t>,5</w:t>
      </w:r>
      <w:r w:rsidRPr="000A74BB">
        <w:rPr>
          <w:lang w:val="pl-PL"/>
        </w:rPr>
        <w:t>%;</w:t>
      </w:r>
      <w:r w:rsidRPr="000A74BB">
        <w:rPr>
          <w:lang w:val="vi-VN"/>
        </w:rPr>
        <w:t xml:space="preserve"> k</w:t>
      </w:r>
      <w:r w:rsidRPr="000A74BB">
        <w:rPr>
          <w:lang w:val="pl-PL"/>
        </w:rPr>
        <w:t>hí hóa lỏng LPG tăng</w:t>
      </w:r>
      <w:r w:rsidRPr="000A74BB">
        <w:rPr>
          <w:lang w:val="vi-VN"/>
        </w:rPr>
        <w:t xml:space="preserve"> 11,4%;</w:t>
      </w:r>
      <w:r w:rsidRPr="000A74BB">
        <w:rPr>
          <w:lang w:val="pl-PL"/>
        </w:rPr>
        <w:t xml:space="preserve"> thép thanh, thép góc tăng 11,0%; đường</w:t>
      </w:r>
      <w:r w:rsidRPr="000A74BB">
        <w:rPr>
          <w:lang w:val="vi-VN"/>
        </w:rPr>
        <w:t xml:space="preserve"> </w:t>
      </w:r>
      <w:r w:rsidRPr="000A74BB">
        <w:rPr>
          <w:lang w:val="pl-PL"/>
        </w:rPr>
        <w:t>kính tăng 10,4%</w:t>
      </w:r>
      <w:r w:rsidRPr="000A74BB">
        <w:rPr>
          <w:lang w:val="vi-VN"/>
        </w:rPr>
        <w:t xml:space="preserve">. </w:t>
      </w:r>
      <w:r w:rsidRPr="000A74BB">
        <w:rPr>
          <w:lang w:val="pl-PL"/>
        </w:rPr>
        <w:t>Ở chiều ngược lại, một số sản phẩm giảm so với cùng kỳ năm trước: Khí đốt thiên nhiên dạng khí giảm 12,9%; vải dệt từ sợi nhân tạo giảm 5</w:t>
      </w:r>
      <w:r w:rsidRPr="000A74BB">
        <w:rPr>
          <w:lang w:val="vi-VN"/>
        </w:rPr>
        <w:t>,2</w:t>
      </w:r>
      <w:r w:rsidRPr="000A74BB">
        <w:rPr>
          <w:lang w:val="pl-PL"/>
        </w:rPr>
        <w:t xml:space="preserve">%; </w:t>
      </w:r>
      <w:r w:rsidRPr="000A74BB">
        <w:rPr>
          <w:lang w:val="vi-VN"/>
        </w:rPr>
        <w:t>d</w:t>
      </w:r>
      <w:r w:rsidRPr="000A74BB">
        <w:rPr>
          <w:lang w:val="pl-PL"/>
        </w:rPr>
        <w:t>ầu mỏ thô khai thác giảm</w:t>
      </w:r>
      <w:r w:rsidRPr="000A74BB">
        <w:rPr>
          <w:lang w:val="vi-VN"/>
        </w:rPr>
        <w:t xml:space="preserve"> </w:t>
      </w:r>
      <w:r w:rsidRPr="000A74BB">
        <w:rPr>
          <w:lang w:val="pl-PL"/>
        </w:rPr>
        <w:t>3</w:t>
      </w:r>
      <w:r w:rsidRPr="000A74BB">
        <w:rPr>
          <w:lang w:val="vi-VN"/>
        </w:rPr>
        <w:t>,1</w:t>
      </w:r>
      <w:r w:rsidRPr="000A74BB">
        <w:rPr>
          <w:lang w:val="pl-PL"/>
        </w:rPr>
        <w:t xml:space="preserve">%; </w:t>
      </w:r>
      <w:r w:rsidRPr="000A74BB">
        <w:rPr>
          <w:lang w:val="vi-VN"/>
        </w:rPr>
        <w:t>điện thoại di động giảm 0,4%.</w:t>
      </w:r>
    </w:p>
    <w:p w14:paraId="49A3DA78" w14:textId="77777777" w:rsidR="00C67D4D" w:rsidRPr="000A74BB" w:rsidRDefault="00C67D4D" w:rsidP="008B5944">
      <w:pPr>
        <w:spacing w:after="120" w:line="252" w:lineRule="auto"/>
        <w:ind w:firstLine="720"/>
        <w:jc w:val="both"/>
        <w:rPr>
          <w:b/>
          <w:bCs/>
          <w:lang w:val="pl-PL"/>
        </w:rPr>
      </w:pPr>
      <w:r w:rsidRPr="000A74BB">
        <w:rPr>
          <w:i/>
          <w:lang w:val="pl-PL"/>
        </w:rPr>
        <w:t>Số lao động đang làm việc trong các doanh nghiệp công nghiệp tại thời điểm 01/7/2025</w:t>
      </w:r>
      <w:r w:rsidRPr="000A74BB">
        <w:rPr>
          <w:lang w:val="pl-PL"/>
        </w:rPr>
        <w:t xml:space="preserve"> tăng 1,0% so với cùng thời điểm tháng trước và tăng</w:t>
      </w:r>
      <w:r w:rsidRPr="000A74BB">
        <w:rPr>
          <w:lang w:val="vi-VN"/>
        </w:rPr>
        <w:t xml:space="preserve"> </w:t>
      </w:r>
      <w:r w:rsidRPr="000A74BB">
        <w:rPr>
          <w:lang w:val="pl-PL"/>
        </w:rPr>
        <w:t>3</w:t>
      </w:r>
      <w:r w:rsidRPr="000A74BB">
        <w:rPr>
          <w:lang w:val="vi-VN"/>
        </w:rPr>
        <w:t>,9</w:t>
      </w:r>
      <w:r w:rsidRPr="000A74BB">
        <w:rPr>
          <w:lang w:val="pl-PL"/>
        </w:rPr>
        <w:t>% so với cùng thời điểm năm trước</w:t>
      </w:r>
      <w:r w:rsidRPr="000A74BB">
        <w:rPr>
          <w:lang w:val="vi-VN"/>
        </w:rPr>
        <w:t>.</w:t>
      </w:r>
      <w:r w:rsidRPr="000A74BB">
        <w:rPr>
          <w:lang w:val="pl-PL"/>
        </w:rPr>
        <w:t xml:space="preserve"> </w:t>
      </w:r>
      <w:r w:rsidRPr="000A74BB">
        <w:rPr>
          <w:lang w:val="vi-VN"/>
        </w:rPr>
        <w:t>T</w:t>
      </w:r>
      <w:r w:rsidRPr="000A74BB">
        <w:rPr>
          <w:lang w:val="pl-PL"/>
        </w:rPr>
        <w:t>rong đó</w:t>
      </w:r>
      <w:r w:rsidRPr="000A74BB">
        <w:rPr>
          <w:lang w:val="vi-VN"/>
        </w:rPr>
        <w:t>,</w:t>
      </w:r>
      <w:r w:rsidRPr="000A74BB">
        <w:rPr>
          <w:lang w:val="pl-PL"/>
        </w:rPr>
        <w:t xml:space="preserve"> tỷ lệ tương ứng của doanh nghiệp Nhà nước cùng</w:t>
      </w:r>
      <w:r w:rsidRPr="000A74BB">
        <w:rPr>
          <w:lang w:val="vi-VN"/>
        </w:rPr>
        <w:t xml:space="preserve"> </w:t>
      </w:r>
      <w:r w:rsidRPr="000A74BB">
        <w:rPr>
          <w:lang w:val="pl-PL"/>
        </w:rPr>
        <w:t xml:space="preserve">tăng 0,5% so với cùng thời điểm tháng trước và </w:t>
      </w:r>
      <w:r w:rsidRPr="000A74BB">
        <w:rPr>
          <w:lang w:val="vi-VN"/>
        </w:rPr>
        <w:t>cùng thời điểm năm trước</w:t>
      </w:r>
      <w:r w:rsidRPr="000A74BB">
        <w:rPr>
          <w:lang w:val="pl-PL"/>
        </w:rPr>
        <w:t>; doanh nghiệp có vốn đầu tư nước ngoài tăng 1,2% và tăng 4</w:t>
      </w:r>
      <w:r w:rsidRPr="000A74BB">
        <w:rPr>
          <w:lang w:val="vi-VN"/>
        </w:rPr>
        <w:t>,6</w:t>
      </w:r>
      <w:r w:rsidRPr="000A74BB">
        <w:rPr>
          <w:lang w:val="pl-PL"/>
        </w:rPr>
        <w:t>%; doanh nghiệp ngoài Nhà nước tăng 0,6% và tăng 2</w:t>
      </w:r>
      <w:r w:rsidRPr="000A74BB">
        <w:rPr>
          <w:lang w:val="vi-VN"/>
        </w:rPr>
        <w:t>,7</w:t>
      </w:r>
      <w:r w:rsidRPr="000A74BB">
        <w:rPr>
          <w:lang w:val="pl-PL"/>
        </w:rPr>
        <w:t xml:space="preserve">%. Theo ngành hoạt động, số lao động </w:t>
      </w:r>
      <w:r w:rsidRPr="000A74BB">
        <w:rPr>
          <w:lang w:val="pl-PL"/>
        </w:rPr>
        <w:lastRenderedPageBreak/>
        <w:t>đang làm việc tron</w:t>
      </w:r>
      <w:r w:rsidRPr="000A74BB">
        <w:rPr>
          <w:lang w:val="vi-VN"/>
        </w:rPr>
        <w:t>g</w:t>
      </w:r>
      <w:r w:rsidRPr="000A74BB">
        <w:rPr>
          <w:lang w:val="pl-PL"/>
        </w:rPr>
        <w:t xml:space="preserve"> các doanh nghiệp ngành khai khoáng tăng 1</w:t>
      </w:r>
      <w:r w:rsidRPr="000A74BB">
        <w:rPr>
          <w:lang w:val="vi-VN"/>
        </w:rPr>
        <w:t>,2</w:t>
      </w:r>
      <w:r w:rsidRPr="000A74BB">
        <w:rPr>
          <w:lang w:val="pl-PL"/>
        </w:rPr>
        <w:t xml:space="preserve"> % so với cùng thời điểm tháng trước và</w:t>
      </w:r>
      <w:r w:rsidRPr="000A74BB">
        <w:rPr>
          <w:lang w:val="vi-VN"/>
        </w:rPr>
        <w:t xml:space="preserve"> tăng 1,6</w:t>
      </w:r>
      <w:r w:rsidRPr="000A74BB">
        <w:rPr>
          <w:lang w:val="pl-PL"/>
        </w:rPr>
        <w:t>% so với cùng thời điểm năm trước; số lao động trong ngành chế biến, chế tạo tăng 1,1% và tăng 4,1%; ngành sản xuất và phân phối điện, khí đốt, nước nóng, hơi nước và điều hòa không khí giảm</w:t>
      </w:r>
      <w:r w:rsidRPr="000A74BB">
        <w:rPr>
          <w:lang w:val="vi-VN"/>
        </w:rPr>
        <w:t xml:space="preserve"> 0,1%</w:t>
      </w:r>
      <w:r w:rsidRPr="000A74BB">
        <w:rPr>
          <w:lang w:val="pl-PL"/>
        </w:rPr>
        <w:t xml:space="preserve"> và giảm 0,5%; ngành cung cấp nước, hoạt động quản lý và xử lý rác thải, nước thải tăng</w:t>
      </w:r>
      <w:r w:rsidRPr="000A74BB">
        <w:rPr>
          <w:lang w:val="vi-VN"/>
        </w:rPr>
        <w:t xml:space="preserve"> 0,</w:t>
      </w:r>
      <w:r w:rsidRPr="000A74BB">
        <w:rPr>
          <w:lang w:val="pl-PL"/>
        </w:rPr>
        <w:t>2% và tăng 1,5%.</w:t>
      </w:r>
    </w:p>
    <w:p w14:paraId="04A28047" w14:textId="733F5639" w:rsidR="00194482" w:rsidRPr="00460807" w:rsidRDefault="008854E5" w:rsidP="008B5944">
      <w:pPr>
        <w:spacing w:after="120" w:line="252" w:lineRule="auto"/>
        <w:ind w:firstLine="720"/>
        <w:jc w:val="both"/>
        <w:rPr>
          <w:i/>
          <w:lang w:val="it-IT"/>
        </w:rPr>
      </w:pPr>
      <w:r w:rsidRPr="008B5944">
        <w:rPr>
          <w:b/>
          <w:bCs/>
          <w:lang w:val="pl-PL"/>
        </w:rPr>
        <w:t>3.</w:t>
      </w:r>
      <w:r w:rsidRPr="008B5944">
        <w:rPr>
          <w:b/>
          <w:bCs/>
          <w:lang w:val="it-IT"/>
        </w:rPr>
        <w:t xml:space="preserve"> </w:t>
      </w:r>
      <w:r w:rsidRPr="008B5944">
        <w:rPr>
          <w:b/>
          <w:lang w:val="it-IT"/>
        </w:rPr>
        <w:t>Tình hình đăng ký doanh nghiệp</w:t>
      </w:r>
      <w:r w:rsidR="00BD64F8" w:rsidRPr="008B5944">
        <w:rPr>
          <w:rStyle w:val="FootnoteReference"/>
          <w:b/>
          <w:lang w:val="it-IT"/>
        </w:rPr>
        <w:footnoteReference w:id="9"/>
      </w:r>
    </w:p>
    <w:p w14:paraId="74829FC3" w14:textId="77777777" w:rsidR="00BD64F8" w:rsidRPr="00460807" w:rsidRDefault="00BD64F8" w:rsidP="008B5944">
      <w:pPr>
        <w:spacing w:after="120" w:line="252" w:lineRule="auto"/>
        <w:ind w:firstLine="720"/>
        <w:jc w:val="both"/>
        <w:rPr>
          <w:lang w:val="it-IT"/>
        </w:rPr>
      </w:pPr>
      <w:r w:rsidRPr="00460807">
        <w:rPr>
          <w:lang w:val="it-IT"/>
        </w:rPr>
        <w:t>Trong tháng Bảy, cả nước có 16,5 nghìn doanh nghiệp thành lập mới với số vốn đăng ký là 117,4 nghìn tỷ đồng và số lao động đăng ký gần 79 nghìn lao động, giảm 32,3% về số doanh nghiệp, giảm 33,6% về số vốn đăng ký và giảm 42,4% về số lao động so với tháng 6/2025. So với cùng kỳ năm trước, tăng 4,7% về số doanh nghiệp, giảm 11,6% về số vốn đăng ký và giảm 3,3% về số lao động. Vốn đăng ký bình quân một doanh nghiệp thành lập mới trong tháng đạt 7,1 tỷ đồng, giảm 1,8% so với tháng trước và giảm 15,6% so với cùng kỳ năm trước. Bên cạnh đó, cả nước có 14,6 nghìn doanh nghiệp quay trở lại hoạt động, tăng 1,6% so với tháng trước và tăng 78,3% so với cùng kỳ năm 2024.</w:t>
      </w:r>
    </w:p>
    <w:p w14:paraId="5237F2C0" w14:textId="7829F74B" w:rsidR="00BD64F8" w:rsidRPr="00460807" w:rsidRDefault="00BD64F8" w:rsidP="008B5944">
      <w:pPr>
        <w:spacing w:after="120" w:line="252" w:lineRule="auto"/>
        <w:ind w:firstLine="720"/>
        <w:jc w:val="both"/>
        <w:rPr>
          <w:lang w:val="it-IT"/>
        </w:rPr>
      </w:pPr>
      <w:r w:rsidRPr="00460807">
        <w:rPr>
          <w:lang w:val="it-IT"/>
        </w:rPr>
        <w:t xml:space="preserve">Tính chung bảy tháng năm 2025, cả nước có 107,7 nghìn doanh nghiệp đăng ký thành lập mới với tổng số vốn đăng ký là 928,4 nghìn tỷ đồng và tổng số lao động đăng ký là 670,0 nghìn lao động, tăng 10,6% về số doanh nghiệp, tăng 5,5% về số vốn đăng ký và tăng 11,6% về số lao động so với cùng kỳ năm trước. Vốn đăng ký bình quân một doanh nghiệp thành lập mới trong bảy tháng năm 2025 đạt 8,6 tỷ đồng, giảm 4,6% so với cùng kỳ năm 2024. </w:t>
      </w:r>
      <w:r w:rsidRPr="008B5944">
        <w:rPr>
          <w:lang w:val="it-IT"/>
        </w:rPr>
        <w:t xml:space="preserve">Tổng số vốn đăng ký bổ sung vào nền kinh tế trong bảy tháng năm nay </w:t>
      </w:r>
      <w:r w:rsidR="00C824C1" w:rsidRPr="00460807">
        <w:rPr>
          <w:lang w:val="it-IT"/>
        </w:rPr>
        <w:t xml:space="preserve">đạt hơn 3,3 </w:t>
      </w:r>
      <w:r w:rsidRPr="008B5944">
        <w:rPr>
          <w:lang w:val="it-IT"/>
        </w:rPr>
        <w:t xml:space="preserve">nghìn tỷ đồng, tăng </w:t>
      </w:r>
      <w:r w:rsidR="00C824C1" w:rsidRPr="00460807">
        <w:rPr>
          <w:lang w:val="it-IT"/>
        </w:rPr>
        <w:t>93,7%</w:t>
      </w:r>
      <w:r w:rsidRPr="008B5944">
        <w:rPr>
          <w:lang w:val="it-IT"/>
        </w:rPr>
        <w:t xml:space="preserve"> so với cùng kỳ năm 2024</w:t>
      </w:r>
      <w:r w:rsidRPr="008B5944">
        <w:rPr>
          <w:rStyle w:val="FootnoteReference"/>
        </w:rPr>
        <w:footnoteReference w:id="10"/>
      </w:r>
      <w:r w:rsidRPr="008B5944">
        <w:rPr>
          <w:lang w:val="it-IT"/>
        </w:rPr>
        <w:t xml:space="preserve">. </w:t>
      </w:r>
      <w:r w:rsidRPr="00460807">
        <w:rPr>
          <w:lang w:val="it-IT"/>
        </w:rPr>
        <w:t>Bên cạnh đó, cả nước có 66,3 nghìn doanh nghiệp quay trở lại hoạt động (tăng 49,8% so với cùng kỳ năm 2024), nâng tổng số doanh nghiệp thành lập mới và quay trở lại hoạt động trong bảy tháng lên 174,0 nghìn doanh nghiệp, tăng 22,9% so với cùng kỳ năm 2024. Bình quân một tháng có 24,9 nghìn doanh nghiệp thành lập mới và quay trở lại hoạt động.</w:t>
      </w:r>
    </w:p>
    <w:p w14:paraId="476893C7" w14:textId="77777777" w:rsidR="00BD64F8" w:rsidRPr="00460807" w:rsidRDefault="00BD64F8" w:rsidP="008B5944">
      <w:pPr>
        <w:spacing w:after="120" w:line="252" w:lineRule="auto"/>
        <w:ind w:firstLine="720"/>
        <w:jc w:val="both"/>
        <w:rPr>
          <w:spacing w:val="-2"/>
          <w:lang w:val="it-IT"/>
        </w:rPr>
      </w:pPr>
      <w:r w:rsidRPr="00460807">
        <w:rPr>
          <w:spacing w:val="-2"/>
          <w:lang w:val="it-IT"/>
        </w:rPr>
        <w:t>Theo khu vực kinh tế, trong bảy tháng năm 2025 có 949 doanh nghiệp đăng ký thành lập mới thuộc khu vực nông, lâm nghiệp và thủy sản, tăng 0,7% so với cùng kỳ năm trước; 23,6 nghìn doanh nghiệp thuộc khu vực công nghiệp và xây dựng, tăng 3,1%; 83,2 nghìn doanh nghiệp thuộc khu vực dịch vụ, tăng 13,1%.</w:t>
      </w:r>
    </w:p>
    <w:p w14:paraId="11FA25F1" w14:textId="77777777" w:rsidR="00BD64F8" w:rsidRPr="00460807" w:rsidRDefault="00BD64F8" w:rsidP="008B5944">
      <w:pPr>
        <w:spacing w:after="120" w:line="264" w:lineRule="auto"/>
        <w:ind w:firstLine="720"/>
        <w:jc w:val="both"/>
        <w:rPr>
          <w:lang w:val="it-IT"/>
        </w:rPr>
      </w:pPr>
      <w:r w:rsidRPr="00460807">
        <w:rPr>
          <w:lang w:val="it-IT"/>
        </w:rPr>
        <w:lastRenderedPageBreak/>
        <w:t xml:space="preserve">Cũng trong tháng Bảy, có 7,3 nghìn doanh nghiệp đăng ký tạm ngừng kinh doanh có thời hạn, tăng 14,2% so với tháng trước và tăng 7,4% so với cùng kỳ năm 2024; có </w:t>
      </w:r>
      <w:r w:rsidRPr="00460807">
        <w:rPr>
          <w:spacing w:val="1"/>
          <w:lang w:val="it-IT"/>
        </w:rPr>
        <w:t>4,4 nghìn doanh nghiệp tạm ngừng hoạt động chờ làm thủ tục giải thể, giảm 56,4% và giảm 37,7%; có 1,9 nghìn doanh nghiệp hoàn tất thủ tục giải thể, giảm 29,4% và tăng 5,4%.</w:t>
      </w:r>
      <w:r w:rsidRPr="00460807">
        <w:rPr>
          <w:lang w:val="it-IT"/>
        </w:rPr>
        <w:t xml:space="preserve"> </w:t>
      </w:r>
    </w:p>
    <w:p w14:paraId="448E5090" w14:textId="77777777" w:rsidR="00BD64F8" w:rsidRDefault="00BD64F8" w:rsidP="00BD64F8">
      <w:pPr>
        <w:spacing w:after="120" w:line="264" w:lineRule="auto"/>
        <w:jc w:val="center"/>
        <w:rPr>
          <w:lang w:val="it-IT"/>
        </w:rPr>
      </w:pPr>
      <w:r>
        <w:rPr>
          <w:rFonts w:ascii="Arial" w:hAnsi="Arial" w:cs="Arial"/>
          <w:b/>
          <w:sz w:val="24"/>
          <w:szCs w:val="24"/>
          <w:lang w:val="it-IT"/>
        </w:rPr>
        <w:t>Hình 5. Tình hình đăng ký doanh nghiệp</w:t>
      </w:r>
      <w:r>
        <w:rPr>
          <w:lang w:val="it-IT"/>
        </w:rPr>
        <w:t xml:space="preserve"> </w:t>
      </w:r>
    </w:p>
    <w:p w14:paraId="22B57F21" w14:textId="77777777" w:rsidR="00BD64F8" w:rsidRDefault="00BD64F8" w:rsidP="00BD64F8">
      <w:pPr>
        <w:spacing w:after="120" w:line="264" w:lineRule="auto"/>
        <w:jc w:val="center"/>
        <w:rPr>
          <w:rFonts w:ascii="Arial" w:hAnsi="Arial" w:cs="Arial"/>
          <w:b/>
          <w:sz w:val="24"/>
          <w:szCs w:val="24"/>
          <w:lang w:val="it-IT"/>
        </w:rPr>
      </w:pPr>
      <w:r w:rsidRPr="008B5944">
        <w:rPr>
          <w:rFonts w:ascii="Arial" w:hAnsi="Arial" w:cs="Arial"/>
          <w:b/>
          <w:noProof/>
          <w:sz w:val="24"/>
          <w:szCs w:val="24"/>
        </w:rPr>
        <w:drawing>
          <wp:inline distT="0" distB="0" distL="0" distR="0" wp14:anchorId="7D07F589" wp14:editId="35639124">
            <wp:extent cx="4568739" cy="2081350"/>
            <wp:effectExtent l="0" t="0" r="3810" b="0"/>
            <wp:docPr id="167552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20574" name="Picture 16755205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8739" cy="2081350"/>
                    </a:xfrm>
                    <a:prstGeom prst="rect">
                      <a:avLst/>
                    </a:prstGeom>
                  </pic:spPr>
                </pic:pic>
              </a:graphicData>
            </a:graphic>
          </wp:inline>
        </w:drawing>
      </w:r>
    </w:p>
    <w:p w14:paraId="27DACE29" w14:textId="77777777" w:rsidR="00BD64F8" w:rsidRDefault="00BD64F8" w:rsidP="00BD64F8">
      <w:pPr>
        <w:spacing w:after="120" w:line="264" w:lineRule="auto"/>
        <w:ind w:firstLine="567"/>
        <w:jc w:val="both"/>
        <w:rPr>
          <w:lang w:val="it-IT"/>
        </w:rPr>
      </w:pPr>
      <w:r>
        <w:rPr>
          <w:lang w:val="it-IT"/>
        </w:rPr>
        <w:t xml:space="preserve">Tính chung trong bảy tháng năm </w:t>
      </w:r>
      <w:r w:rsidRPr="002844A4">
        <w:rPr>
          <w:lang w:val="it-IT"/>
        </w:rPr>
        <w:t>nay</w:t>
      </w:r>
      <w:r>
        <w:rPr>
          <w:lang w:val="it-IT"/>
        </w:rPr>
        <w:t xml:space="preserve">, số doanh nghiệp tạm ngừng kinh doanh có thời hạn là </w:t>
      </w:r>
      <w:r w:rsidRPr="004A65FD">
        <w:rPr>
          <w:lang w:val="it-IT"/>
        </w:rPr>
        <w:t>88,6</w:t>
      </w:r>
      <w:r>
        <w:rPr>
          <w:lang w:val="it-IT"/>
        </w:rPr>
        <w:t xml:space="preserve"> nghìn doanh nghiệp, tăng </w:t>
      </w:r>
      <w:r w:rsidRPr="004A65FD">
        <w:rPr>
          <w:lang w:val="it-IT"/>
        </w:rPr>
        <w:t>13,6</w:t>
      </w:r>
      <w:r>
        <w:rPr>
          <w:lang w:val="it-IT"/>
        </w:rPr>
        <w:t xml:space="preserve">% so với cùng kỳ năm trước; </w:t>
      </w:r>
      <w:r w:rsidRPr="004A65FD">
        <w:rPr>
          <w:lang w:val="it-IT"/>
        </w:rPr>
        <w:t>41,5</w:t>
      </w:r>
      <w:r>
        <w:rPr>
          <w:lang w:val="it-IT"/>
        </w:rPr>
        <w:t xml:space="preserve"> nghìn doanh nghiệp tạm ngừng hoạt động chờ làm thủ tục giải thể, tăng </w:t>
      </w:r>
      <w:r w:rsidRPr="004A65FD">
        <w:rPr>
          <w:lang w:val="it-IT"/>
        </w:rPr>
        <w:t>16,7</w:t>
      </w:r>
      <w:r>
        <w:rPr>
          <w:lang w:val="it-IT"/>
        </w:rPr>
        <w:t xml:space="preserve">%; </w:t>
      </w:r>
      <w:r w:rsidRPr="004A65FD">
        <w:rPr>
          <w:lang w:val="it-IT"/>
        </w:rPr>
        <w:t>14,3</w:t>
      </w:r>
      <w:r>
        <w:rPr>
          <w:lang w:val="it-IT"/>
        </w:rPr>
        <w:t xml:space="preserve"> nghìn doanh nghiệp hoàn tất thủ tục giải thể, tăng </w:t>
      </w:r>
      <w:r w:rsidRPr="004A65FD">
        <w:rPr>
          <w:spacing w:val="-2"/>
          <w:lang w:val="it-IT"/>
        </w:rPr>
        <w:t>20,5</w:t>
      </w:r>
      <w:r>
        <w:rPr>
          <w:spacing w:val="-2"/>
          <w:lang w:val="it-IT"/>
        </w:rPr>
        <w:t xml:space="preserve">%. Bình quân một tháng có </w:t>
      </w:r>
      <w:r w:rsidRPr="004A65FD">
        <w:rPr>
          <w:spacing w:val="-2"/>
          <w:lang w:val="it-IT"/>
        </w:rPr>
        <w:t>20,6</w:t>
      </w:r>
      <w:r>
        <w:rPr>
          <w:spacing w:val="-2"/>
          <w:lang w:val="it-IT"/>
        </w:rPr>
        <w:t xml:space="preserve"> nghìn doanh nghiệp rút lui khỏi thị trường.</w:t>
      </w:r>
    </w:p>
    <w:p w14:paraId="1023C514" w14:textId="5D18E00C" w:rsidR="00BD64F8" w:rsidRDefault="00BD64F8" w:rsidP="00BD64F8">
      <w:pPr>
        <w:tabs>
          <w:tab w:val="left" w:pos="6810"/>
        </w:tabs>
        <w:spacing w:line="264" w:lineRule="auto"/>
        <w:jc w:val="center"/>
        <w:rPr>
          <w:rFonts w:ascii="Arial" w:hAnsi="Arial" w:cs="Arial"/>
          <w:b/>
          <w:sz w:val="24"/>
          <w:szCs w:val="20"/>
          <w:lang w:val="it-IT"/>
        </w:rPr>
      </w:pPr>
      <w:r>
        <w:rPr>
          <w:rFonts w:ascii="Arial" w:hAnsi="Arial" w:cs="Arial"/>
          <w:b/>
          <w:sz w:val="24"/>
          <w:szCs w:val="20"/>
          <w:lang w:val="it-IT"/>
        </w:rPr>
        <w:t xml:space="preserve">Biểu </w:t>
      </w:r>
      <w:r w:rsidR="00460807">
        <w:rPr>
          <w:rFonts w:ascii="Arial" w:hAnsi="Arial" w:cs="Arial"/>
          <w:b/>
          <w:sz w:val="24"/>
          <w:szCs w:val="20"/>
          <w:lang w:val="it-IT"/>
        </w:rPr>
        <w:t>2</w:t>
      </w:r>
      <w:r>
        <w:rPr>
          <w:rFonts w:ascii="Arial" w:hAnsi="Arial" w:cs="Arial"/>
          <w:b/>
          <w:sz w:val="24"/>
          <w:szCs w:val="20"/>
          <w:lang w:val="it-IT"/>
        </w:rPr>
        <w:t>. Doanh nghiệp thành lập mới và giải thể 7 tháng năm 2025                                   phân theo một số lĩnh vực hoạt động</w:t>
      </w:r>
    </w:p>
    <w:p w14:paraId="474C3CFF" w14:textId="77777777" w:rsidR="00BD64F8" w:rsidRDefault="00BD64F8" w:rsidP="00BD64F8">
      <w:pPr>
        <w:tabs>
          <w:tab w:val="left" w:pos="6810"/>
        </w:tabs>
        <w:spacing w:after="120" w:line="264" w:lineRule="auto"/>
        <w:ind w:firstLine="567"/>
        <w:jc w:val="center"/>
        <w:rPr>
          <w:rFonts w:ascii="Arial" w:hAnsi="Arial" w:cs="Arial"/>
          <w:b/>
          <w:sz w:val="4"/>
          <w:szCs w:val="20"/>
          <w:lang w:val="it-IT"/>
        </w:rPr>
      </w:pPr>
    </w:p>
    <w:tbl>
      <w:tblPr>
        <w:tblW w:w="9116" w:type="dxa"/>
        <w:jc w:val="center"/>
        <w:tblLook w:val="04A0" w:firstRow="1" w:lastRow="0" w:firstColumn="1" w:lastColumn="0" w:noHBand="0" w:noVBand="1"/>
      </w:tblPr>
      <w:tblGrid>
        <w:gridCol w:w="3918"/>
        <w:gridCol w:w="1555"/>
        <w:gridCol w:w="1170"/>
        <w:gridCol w:w="1495"/>
        <w:gridCol w:w="978"/>
      </w:tblGrid>
      <w:tr w:rsidR="00BD64F8" w:rsidRPr="002844A4" w14:paraId="570D579B" w14:textId="77777777" w:rsidTr="008B5944">
        <w:trPr>
          <w:cantSplit/>
          <w:trHeight w:val="584"/>
          <w:jc w:val="center"/>
        </w:trPr>
        <w:tc>
          <w:tcPr>
            <w:tcW w:w="3918" w:type="dxa"/>
            <w:vMerge w:val="restart"/>
            <w:tcBorders>
              <w:top w:val="single" w:sz="4" w:space="0" w:color="auto"/>
              <w:left w:val="nil"/>
              <w:bottom w:val="nil"/>
              <w:right w:val="nil"/>
            </w:tcBorders>
            <w:noWrap/>
            <w:vAlign w:val="bottom"/>
            <w:hideMark/>
          </w:tcPr>
          <w:p w14:paraId="52CCED55" w14:textId="77777777" w:rsidR="00BD64F8" w:rsidRDefault="00BD64F8" w:rsidP="008B5944">
            <w:pPr>
              <w:spacing w:line="264" w:lineRule="auto"/>
              <w:jc w:val="center"/>
              <w:rPr>
                <w:rFonts w:ascii="Arial" w:hAnsi="Arial" w:cs="Arial"/>
                <w:kern w:val="2"/>
                <w:sz w:val="20"/>
                <w:szCs w:val="20"/>
                <w:lang w:val="it-IT"/>
                <w14:ligatures w14:val="standardContextual"/>
              </w:rPr>
            </w:pPr>
            <w:r>
              <w:rPr>
                <w:rFonts w:ascii="Arial" w:hAnsi="Arial" w:cs="Arial"/>
                <w:kern w:val="2"/>
                <w:sz w:val="20"/>
                <w:szCs w:val="20"/>
                <w:lang w:val="it-IT"/>
                <w14:ligatures w14:val="standardContextual"/>
              </w:rPr>
              <w:t> </w:t>
            </w:r>
          </w:p>
        </w:tc>
        <w:tc>
          <w:tcPr>
            <w:tcW w:w="2725" w:type="dxa"/>
            <w:gridSpan w:val="2"/>
            <w:tcBorders>
              <w:top w:val="single" w:sz="4" w:space="0" w:color="auto"/>
              <w:left w:val="nil"/>
              <w:bottom w:val="single" w:sz="4" w:space="0" w:color="auto"/>
              <w:right w:val="nil"/>
            </w:tcBorders>
            <w:vAlign w:val="center"/>
            <w:hideMark/>
          </w:tcPr>
          <w:p w14:paraId="1AB9C8E5" w14:textId="77777777" w:rsidR="00BD64F8" w:rsidRDefault="00BD64F8" w:rsidP="008B5944">
            <w:pPr>
              <w:spacing w:line="264" w:lineRule="auto"/>
              <w:jc w:val="center"/>
              <w:rPr>
                <w:rFonts w:ascii="Arial" w:hAnsi="Arial" w:cs="Arial"/>
                <w:bCs/>
                <w:kern w:val="2"/>
                <w:sz w:val="20"/>
                <w:szCs w:val="20"/>
                <w:lang w:val="it-IT"/>
                <w14:ligatures w14:val="standardContextual"/>
              </w:rPr>
            </w:pPr>
            <w:r>
              <w:rPr>
                <w:rFonts w:ascii="Arial" w:hAnsi="Arial" w:cs="Arial"/>
                <w:bCs/>
                <w:kern w:val="2"/>
                <w:sz w:val="20"/>
                <w:szCs w:val="20"/>
                <w:lang w:val="it-IT"/>
                <w14:ligatures w14:val="standardContextual"/>
              </w:rPr>
              <w:t>Số lượng doanh nghiệp (Doanh nghiệp)</w:t>
            </w:r>
          </w:p>
        </w:tc>
        <w:tc>
          <w:tcPr>
            <w:tcW w:w="2473" w:type="dxa"/>
            <w:gridSpan w:val="2"/>
            <w:tcBorders>
              <w:top w:val="single" w:sz="4" w:space="0" w:color="auto"/>
              <w:left w:val="nil"/>
              <w:bottom w:val="single" w:sz="4" w:space="0" w:color="auto"/>
              <w:right w:val="nil"/>
            </w:tcBorders>
            <w:vAlign w:val="center"/>
            <w:hideMark/>
          </w:tcPr>
          <w:p w14:paraId="645CCC0F" w14:textId="77777777" w:rsidR="00BD64F8" w:rsidRDefault="00BD64F8" w:rsidP="008B5944">
            <w:pPr>
              <w:spacing w:line="264" w:lineRule="auto"/>
              <w:jc w:val="center"/>
              <w:rPr>
                <w:rFonts w:ascii="Arial" w:hAnsi="Arial" w:cs="Arial"/>
                <w:bCs/>
                <w:kern w:val="2"/>
                <w:sz w:val="20"/>
                <w:szCs w:val="20"/>
                <w:lang w:val="it-IT"/>
                <w14:ligatures w14:val="standardContextual"/>
              </w:rPr>
            </w:pPr>
            <w:r>
              <w:rPr>
                <w:rFonts w:ascii="Arial" w:hAnsi="Arial" w:cs="Arial"/>
                <w:bCs/>
                <w:kern w:val="2"/>
                <w:sz w:val="20"/>
                <w:szCs w:val="20"/>
                <w:lang w:val="it-IT"/>
                <w14:ligatures w14:val="standardContextual"/>
              </w:rPr>
              <w:t>Tốc độ tăng/giảm so với cùng kỳ năm trước (%)</w:t>
            </w:r>
          </w:p>
        </w:tc>
      </w:tr>
      <w:tr w:rsidR="00BD64F8" w14:paraId="1E87F6FF" w14:textId="77777777" w:rsidTr="008B5944">
        <w:trPr>
          <w:cantSplit/>
          <w:trHeight w:val="305"/>
          <w:jc w:val="center"/>
        </w:trPr>
        <w:tc>
          <w:tcPr>
            <w:tcW w:w="0" w:type="auto"/>
            <w:vMerge/>
            <w:tcBorders>
              <w:top w:val="single" w:sz="4" w:space="0" w:color="auto"/>
              <w:left w:val="nil"/>
              <w:bottom w:val="nil"/>
              <w:right w:val="nil"/>
            </w:tcBorders>
            <w:vAlign w:val="center"/>
            <w:hideMark/>
          </w:tcPr>
          <w:p w14:paraId="35E6AE53" w14:textId="77777777" w:rsidR="00BD64F8" w:rsidRDefault="00BD64F8">
            <w:pPr>
              <w:spacing w:line="256" w:lineRule="auto"/>
              <w:rPr>
                <w:rFonts w:ascii="Arial" w:hAnsi="Arial" w:cs="Arial"/>
                <w:kern w:val="2"/>
                <w:sz w:val="20"/>
                <w:szCs w:val="20"/>
                <w:lang w:val="it-IT"/>
                <w14:ligatures w14:val="standardContextual"/>
              </w:rPr>
            </w:pPr>
          </w:p>
        </w:tc>
        <w:tc>
          <w:tcPr>
            <w:tcW w:w="1555" w:type="dxa"/>
            <w:tcBorders>
              <w:top w:val="single" w:sz="4" w:space="0" w:color="auto"/>
              <w:left w:val="nil"/>
              <w:bottom w:val="single" w:sz="4" w:space="0" w:color="auto"/>
              <w:right w:val="nil"/>
            </w:tcBorders>
            <w:vAlign w:val="center"/>
            <w:hideMark/>
          </w:tcPr>
          <w:p w14:paraId="6DBA77E6" w14:textId="77777777" w:rsidR="00BD64F8" w:rsidRDefault="00BD64F8" w:rsidP="008B5944">
            <w:pPr>
              <w:spacing w:line="264" w:lineRule="auto"/>
              <w:jc w:val="center"/>
              <w:rPr>
                <w:rFonts w:ascii="Arial" w:hAnsi="Arial" w:cs="Arial"/>
                <w:bCs/>
                <w:kern w:val="2"/>
                <w:sz w:val="20"/>
                <w:szCs w:val="20"/>
                <w14:ligatures w14:val="standardContextual"/>
              </w:rPr>
            </w:pPr>
            <w:r>
              <w:rPr>
                <w:rFonts w:ascii="Arial" w:hAnsi="Arial" w:cs="Arial"/>
                <w:bCs/>
                <w:kern w:val="2"/>
                <w:sz w:val="20"/>
                <w:szCs w:val="20"/>
                <w14:ligatures w14:val="standardContextual"/>
              </w:rPr>
              <w:t>Thành lập mới</w:t>
            </w:r>
          </w:p>
        </w:tc>
        <w:tc>
          <w:tcPr>
            <w:tcW w:w="1170" w:type="dxa"/>
            <w:tcBorders>
              <w:top w:val="single" w:sz="4" w:space="0" w:color="auto"/>
              <w:left w:val="nil"/>
              <w:bottom w:val="single" w:sz="4" w:space="0" w:color="auto"/>
              <w:right w:val="nil"/>
            </w:tcBorders>
            <w:vAlign w:val="center"/>
            <w:hideMark/>
          </w:tcPr>
          <w:p w14:paraId="259692EA" w14:textId="77777777" w:rsidR="00BD64F8" w:rsidRDefault="00BD64F8" w:rsidP="008B5944">
            <w:pPr>
              <w:spacing w:line="264" w:lineRule="auto"/>
              <w:jc w:val="center"/>
              <w:rPr>
                <w:rFonts w:ascii="Arial" w:hAnsi="Arial" w:cs="Arial"/>
                <w:bCs/>
                <w:kern w:val="2"/>
                <w:sz w:val="20"/>
                <w:szCs w:val="20"/>
                <w14:ligatures w14:val="standardContextual"/>
              </w:rPr>
            </w:pPr>
            <w:r>
              <w:rPr>
                <w:rFonts w:ascii="Arial" w:hAnsi="Arial" w:cs="Arial"/>
                <w:bCs/>
                <w:kern w:val="2"/>
                <w:sz w:val="20"/>
                <w:szCs w:val="20"/>
                <w14:ligatures w14:val="standardContextual"/>
              </w:rPr>
              <w:t>Giải thể</w:t>
            </w:r>
          </w:p>
        </w:tc>
        <w:tc>
          <w:tcPr>
            <w:tcW w:w="1495" w:type="dxa"/>
            <w:tcBorders>
              <w:top w:val="single" w:sz="4" w:space="0" w:color="auto"/>
              <w:left w:val="nil"/>
              <w:bottom w:val="single" w:sz="4" w:space="0" w:color="auto"/>
              <w:right w:val="nil"/>
            </w:tcBorders>
            <w:vAlign w:val="center"/>
            <w:hideMark/>
          </w:tcPr>
          <w:p w14:paraId="1C8EE544" w14:textId="77777777" w:rsidR="00BD64F8" w:rsidRDefault="00BD64F8" w:rsidP="008B5944">
            <w:pPr>
              <w:spacing w:line="264" w:lineRule="auto"/>
              <w:jc w:val="center"/>
              <w:rPr>
                <w:rFonts w:ascii="Arial" w:hAnsi="Arial" w:cs="Arial"/>
                <w:bCs/>
                <w:kern w:val="2"/>
                <w:sz w:val="20"/>
                <w:szCs w:val="20"/>
                <w14:ligatures w14:val="standardContextual"/>
              </w:rPr>
            </w:pPr>
            <w:r>
              <w:rPr>
                <w:rFonts w:ascii="Arial" w:hAnsi="Arial" w:cs="Arial"/>
                <w:bCs/>
                <w:kern w:val="2"/>
                <w:sz w:val="20"/>
                <w:szCs w:val="20"/>
                <w14:ligatures w14:val="standardContextual"/>
              </w:rPr>
              <w:t>Thành lập mới</w:t>
            </w:r>
          </w:p>
        </w:tc>
        <w:tc>
          <w:tcPr>
            <w:tcW w:w="978" w:type="dxa"/>
            <w:tcBorders>
              <w:top w:val="single" w:sz="4" w:space="0" w:color="auto"/>
              <w:left w:val="nil"/>
              <w:bottom w:val="single" w:sz="4" w:space="0" w:color="auto"/>
              <w:right w:val="nil"/>
            </w:tcBorders>
            <w:vAlign w:val="center"/>
            <w:hideMark/>
          </w:tcPr>
          <w:p w14:paraId="30FE1568" w14:textId="77777777" w:rsidR="00BD64F8" w:rsidRDefault="00BD64F8" w:rsidP="008B5944">
            <w:pPr>
              <w:spacing w:line="264" w:lineRule="auto"/>
              <w:jc w:val="center"/>
              <w:rPr>
                <w:rFonts w:ascii="Arial" w:hAnsi="Arial" w:cs="Arial"/>
                <w:bCs/>
                <w:kern w:val="2"/>
                <w:sz w:val="20"/>
                <w:szCs w:val="20"/>
                <w14:ligatures w14:val="standardContextual"/>
              </w:rPr>
            </w:pPr>
            <w:r>
              <w:rPr>
                <w:rFonts w:ascii="Arial" w:hAnsi="Arial" w:cs="Arial"/>
                <w:bCs/>
                <w:kern w:val="2"/>
                <w:sz w:val="20"/>
                <w:szCs w:val="20"/>
                <w14:ligatures w14:val="standardContextual"/>
              </w:rPr>
              <w:t>Giải thể</w:t>
            </w:r>
          </w:p>
        </w:tc>
      </w:tr>
      <w:tr w:rsidR="00BD64F8" w14:paraId="7A0FD699" w14:textId="77777777" w:rsidTr="008B5944">
        <w:trPr>
          <w:cantSplit/>
          <w:trHeight w:val="278"/>
          <w:jc w:val="center"/>
        </w:trPr>
        <w:tc>
          <w:tcPr>
            <w:tcW w:w="3918" w:type="dxa"/>
            <w:noWrap/>
            <w:vAlign w:val="bottom"/>
            <w:hideMark/>
          </w:tcPr>
          <w:p w14:paraId="611B61A9" w14:textId="77777777" w:rsidR="00BD64F8" w:rsidRDefault="00BD64F8" w:rsidP="008B5944">
            <w:pPr>
              <w:spacing w:line="264" w:lineRule="auto"/>
              <w:rPr>
                <w:rFonts w:ascii="Arial" w:hAnsi="Arial" w:cs="Arial"/>
                <w:kern w:val="2"/>
                <w:sz w:val="20"/>
                <w:szCs w:val="20"/>
                <w14:ligatures w14:val="standardContextual"/>
              </w:rPr>
            </w:pPr>
            <w:r>
              <w:rPr>
                <w:rFonts w:ascii="Arial" w:hAnsi="Arial" w:cs="Arial"/>
                <w:kern w:val="2"/>
                <w:sz w:val="20"/>
                <w:szCs w:val="20"/>
                <w14:ligatures w14:val="standardContextual"/>
              </w:rPr>
              <w:t>Bán buôn, bán lẻ, sửa chữa ô tô, xe máy</w:t>
            </w:r>
          </w:p>
        </w:tc>
        <w:tc>
          <w:tcPr>
            <w:tcW w:w="1555" w:type="dxa"/>
            <w:tcBorders>
              <w:top w:val="single" w:sz="4" w:space="0" w:color="auto"/>
              <w:left w:val="nil"/>
              <w:bottom w:val="nil"/>
              <w:right w:val="nil"/>
            </w:tcBorders>
            <w:noWrap/>
            <w:vAlign w:val="bottom"/>
            <w:hideMark/>
          </w:tcPr>
          <w:p w14:paraId="727E861B"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CC7AA8">
              <w:rPr>
                <w:rFonts w:ascii="Arial" w:hAnsi="Arial" w:cs="Arial"/>
                <w:kern w:val="2"/>
                <w:sz w:val="20"/>
                <w:szCs w:val="20"/>
                <w14:ligatures w14:val="standardContextual"/>
              </w:rPr>
              <w:t>46</w:t>
            </w:r>
            <w:r>
              <w:rPr>
                <w:rFonts w:ascii="Arial" w:hAnsi="Arial" w:cs="Arial"/>
                <w:kern w:val="2"/>
                <w:sz w:val="20"/>
                <w:szCs w:val="20"/>
                <w14:ligatures w14:val="standardContextual"/>
              </w:rPr>
              <w:t>.</w:t>
            </w:r>
            <w:r w:rsidRPr="00CC7AA8">
              <w:rPr>
                <w:rFonts w:ascii="Arial" w:hAnsi="Arial" w:cs="Arial"/>
                <w:kern w:val="2"/>
                <w:sz w:val="20"/>
                <w:szCs w:val="20"/>
                <w14:ligatures w14:val="standardContextual"/>
              </w:rPr>
              <w:t>304</w:t>
            </w:r>
          </w:p>
        </w:tc>
        <w:tc>
          <w:tcPr>
            <w:tcW w:w="1170" w:type="dxa"/>
            <w:tcBorders>
              <w:top w:val="single" w:sz="4" w:space="0" w:color="auto"/>
              <w:left w:val="nil"/>
              <w:bottom w:val="nil"/>
              <w:right w:val="nil"/>
            </w:tcBorders>
            <w:noWrap/>
            <w:vAlign w:val="bottom"/>
            <w:hideMark/>
          </w:tcPr>
          <w:p w14:paraId="7AEBA15B"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5</w:t>
            </w:r>
            <w:r>
              <w:rPr>
                <w:rFonts w:ascii="Arial" w:hAnsi="Arial" w:cs="Arial"/>
                <w:kern w:val="2"/>
                <w:sz w:val="20"/>
                <w:szCs w:val="20"/>
                <w14:ligatures w14:val="standardContextual"/>
              </w:rPr>
              <w:t>.</w:t>
            </w:r>
            <w:r w:rsidRPr="00AF60AF">
              <w:rPr>
                <w:rFonts w:ascii="Arial" w:hAnsi="Arial" w:cs="Arial"/>
                <w:kern w:val="2"/>
                <w:sz w:val="20"/>
                <w:szCs w:val="20"/>
                <w14:ligatures w14:val="standardContextual"/>
              </w:rPr>
              <w:t>224</w:t>
            </w:r>
          </w:p>
        </w:tc>
        <w:tc>
          <w:tcPr>
            <w:tcW w:w="1495" w:type="dxa"/>
            <w:tcBorders>
              <w:top w:val="single" w:sz="4" w:space="0" w:color="auto"/>
              <w:left w:val="nil"/>
              <w:bottom w:val="nil"/>
              <w:right w:val="nil"/>
            </w:tcBorders>
            <w:noWrap/>
            <w:vAlign w:val="bottom"/>
            <w:hideMark/>
          </w:tcPr>
          <w:p w14:paraId="3C9A2176" w14:textId="77777777" w:rsidR="00BD64F8" w:rsidRPr="00D60170" w:rsidRDefault="00BD64F8" w:rsidP="008B5944">
            <w:pPr>
              <w:spacing w:line="264" w:lineRule="auto"/>
              <w:ind w:right="31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16,8</w:t>
            </w:r>
          </w:p>
        </w:tc>
        <w:tc>
          <w:tcPr>
            <w:tcW w:w="978" w:type="dxa"/>
            <w:tcBorders>
              <w:top w:val="single" w:sz="4" w:space="0" w:color="auto"/>
              <w:left w:val="nil"/>
              <w:bottom w:val="nil"/>
              <w:right w:val="nil"/>
            </w:tcBorders>
            <w:noWrap/>
            <w:vAlign w:val="bottom"/>
            <w:hideMark/>
          </w:tcPr>
          <w:p w14:paraId="00027A06"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8,2</w:t>
            </w:r>
          </w:p>
        </w:tc>
      </w:tr>
      <w:tr w:rsidR="00BD64F8" w14:paraId="05964384" w14:textId="77777777" w:rsidTr="008B5944">
        <w:trPr>
          <w:cantSplit/>
          <w:trHeight w:val="291"/>
          <w:jc w:val="center"/>
        </w:trPr>
        <w:tc>
          <w:tcPr>
            <w:tcW w:w="3918" w:type="dxa"/>
            <w:noWrap/>
            <w:vAlign w:val="bottom"/>
            <w:hideMark/>
          </w:tcPr>
          <w:p w14:paraId="4CA8A20B" w14:textId="77777777" w:rsidR="00BD64F8" w:rsidRDefault="00BD64F8" w:rsidP="008B5944">
            <w:pPr>
              <w:spacing w:line="264" w:lineRule="auto"/>
              <w:rPr>
                <w:rFonts w:ascii="Arial" w:hAnsi="Arial" w:cs="Arial"/>
                <w:kern w:val="2"/>
                <w:sz w:val="20"/>
                <w:szCs w:val="20"/>
                <w14:ligatures w14:val="standardContextual"/>
              </w:rPr>
            </w:pPr>
            <w:r>
              <w:rPr>
                <w:rFonts w:ascii="Arial" w:hAnsi="Arial" w:cs="Arial"/>
                <w:kern w:val="2"/>
                <w:sz w:val="20"/>
                <w:szCs w:val="20"/>
                <w14:ligatures w14:val="standardContextual"/>
              </w:rPr>
              <w:t>Công nghiệp chế biến chế tạo</w:t>
            </w:r>
          </w:p>
        </w:tc>
        <w:tc>
          <w:tcPr>
            <w:tcW w:w="1555" w:type="dxa"/>
            <w:noWrap/>
            <w:vAlign w:val="bottom"/>
            <w:hideMark/>
          </w:tcPr>
          <w:p w14:paraId="7C5D6E5D"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14</w:t>
            </w:r>
            <w:r>
              <w:rPr>
                <w:rFonts w:ascii="Arial" w:hAnsi="Arial" w:cs="Arial"/>
                <w:kern w:val="2"/>
                <w:sz w:val="20"/>
                <w:szCs w:val="20"/>
                <w14:ligatures w14:val="standardContextual"/>
              </w:rPr>
              <w:t>.</w:t>
            </w:r>
            <w:r w:rsidRPr="004A05A2">
              <w:rPr>
                <w:rFonts w:ascii="Arial" w:hAnsi="Arial" w:cs="Arial"/>
                <w:kern w:val="2"/>
                <w:sz w:val="20"/>
                <w:szCs w:val="20"/>
                <w14:ligatures w14:val="standardContextual"/>
              </w:rPr>
              <w:t>264</w:t>
            </w:r>
          </w:p>
        </w:tc>
        <w:tc>
          <w:tcPr>
            <w:tcW w:w="1170" w:type="dxa"/>
            <w:noWrap/>
            <w:vAlign w:val="bottom"/>
            <w:hideMark/>
          </w:tcPr>
          <w:p w14:paraId="275FD4FB"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1</w:t>
            </w:r>
            <w:r>
              <w:rPr>
                <w:rFonts w:ascii="Arial" w:hAnsi="Arial" w:cs="Arial"/>
                <w:kern w:val="2"/>
                <w:sz w:val="20"/>
                <w:szCs w:val="20"/>
                <w14:ligatures w14:val="standardContextual"/>
              </w:rPr>
              <w:t>.</w:t>
            </w:r>
            <w:r w:rsidRPr="00AF60AF">
              <w:rPr>
                <w:rFonts w:ascii="Arial" w:hAnsi="Arial" w:cs="Arial"/>
                <w:kern w:val="2"/>
                <w:sz w:val="20"/>
                <w:szCs w:val="20"/>
                <w14:ligatures w14:val="standardContextual"/>
              </w:rPr>
              <w:t>553</w:t>
            </w:r>
          </w:p>
        </w:tc>
        <w:tc>
          <w:tcPr>
            <w:tcW w:w="1495" w:type="dxa"/>
            <w:noWrap/>
            <w:vAlign w:val="bottom"/>
            <w:hideMark/>
          </w:tcPr>
          <w:p w14:paraId="227A69F1" w14:textId="77777777" w:rsidR="00BD64F8" w:rsidRPr="00D60170" w:rsidRDefault="00BD64F8" w:rsidP="008B5944">
            <w:pPr>
              <w:spacing w:line="264" w:lineRule="auto"/>
              <w:ind w:right="31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19,6</w:t>
            </w:r>
          </w:p>
        </w:tc>
        <w:tc>
          <w:tcPr>
            <w:tcW w:w="978" w:type="dxa"/>
            <w:noWrap/>
            <w:vAlign w:val="bottom"/>
            <w:hideMark/>
          </w:tcPr>
          <w:p w14:paraId="4D3F0456"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23,4</w:t>
            </w:r>
          </w:p>
        </w:tc>
      </w:tr>
      <w:tr w:rsidR="00BD64F8" w14:paraId="4484D97F" w14:textId="77777777" w:rsidTr="008B5944">
        <w:trPr>
          <w:cantSplit/>
          <w:trHeight w:val="291"/>
          <w:jc w:val="center"/>
        </w:trPr>
        <w:tc>
          <w:tcPr>
            <w:tcW w:w="3918" w:type="dxa"/>
            <w:noWrap/>
            <w:vAlign w:val="bottom"/>
            <w:hideMark/>
          </w:tcPr>
          <w:p w14:paraId="70A8E47C" w14:textId="77777777" w:rsidR="00BD64F8" w:rsidRDefault="00BD64F8" w:rsidP="008B5944">
            <w:pPr>
              <w:spacing w:line="264" w:lineRule="auto"/>
              <w:rPr>
                <w:rFonts w:ascii="Arial" w:hAnsi="Arial" w:cs="Arial"/>
                <w:kern w:val="2"/>
                <w:sz w:val="20"/>
                <w:szCs w:val="20"/>
                <w14:ligatures w14:val="standardContextual"/>
              </w:rPr>
            </w:pPr>
            <w:r>
              <w:rPr>
                <w:rFonts w:ascii="Arial" w:hAnsi="Arial" w:cs="Arial"/>
                <w:kern w:val="2"/>
                <w:sz w:val="20"/>
                <w:szCs w:val="20"/>
                <w14:ligatures w14:val="standardContextual"/>
              </w:rPr>
              <w:t>Xây dựng</w:t>
            </w:r>
          </w:p>
        </w:tc>
        <w:tc>
          <w:tcPr>
            <w:tcW w:w="1555" w:type="dxa"/>
            <w:noWrap/>
            <w:vAlign w:val="bottom"/>
            <w:hideMark/>
          </w:tcPr>
          <w:p w14:paraId="1A525878"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8</w:t>
            </w:r>
            <w:r>
              <w:rPr>
                <w:rFonts w:ascii="Arial" w:hAnsi="Arial" w:cs="Arial"/>
                <w:kern w:val="2"/>
                <w:sz w:val="20"/>
                <w:szCs w:val="20"/>
                <w14:ligatures w14:val="standardContextual"/>
              </w:rPr>
              <w:t>.</w:t>
            </w:r>
            <w:r w:rsidRPr="004A05A2">
              <w:rPr>
                <w:rFonts w:ascii="Arial" w:hAnsi="Arial" w:cs="Arial"/>
                <w:kern w:val="2"/>
                <w:sz w:val="20"/>
                <w:szCs w:val="20"/>
                <w14:ligatures w14:val="standardContextual"/>
              </w:rPr>
              <w:t>193</w:t>
            </w:r>
          </w:p>
        </w:tc>
        <w:tc>
          <w:tcPr>
            <w:tcW w:w="1170" w:type="dxa"/>
            <w:noWrap/>
            <w:vAlign w:val="bottom"/>
            <w:hideMark/>
          </w:tcPr>
          <w:p w14:paraId="6418AAF7"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1</w:t>
            </w:r>
            <w:r>
              <w:rPr>
                <w:rFonts w:ascii="Arial" w:hAnsi="Arial" w:cs="Arial"/>
                <w:kern w:val="2"/>
                <w:sz w:val="20"/>
                <w:szCs w:val="20"/>
                <w14:ligatures w14:val="standardContextual"/>
              </w:rPr>
              <w:t>.</w:t>
            </w:r>
            <w:r w:rsidRPr="00AF60AF">
              <w:rPr>
                <w:rFonts w:ascii="Arial" w:hAnsi="Arial" w:cs="Arial"/>
                <w:kern w:val="2"/>
                <w:sz w:val="20"/>
                <w:szCs w:val="20"/>
                <w14:ligatures w14:val="standardContextual"/>
              </w:rPr>
              <w:t>008</w:t>
            </w:r>
          </w:p>
        </w:tc>
        <w:tc>
          <w:tcPr>
            <w:tcW w:w="1495" w:type="dxa"/>
            <w:noWrap/>
            <w:vAlign w:val="bottom"/>
            <w:hideMark/>
          </w:tcPr>
          <w:p w14:paraId="2163A87D" w14:textId="77777777" w:rsidR="00BD64F8" w:rsidRPr="00D60170" w:rsidRDefault="00BD64F8" w:rsidP="008B5944">
            <w:pPr>
              <w:spacing w:line="264" w:lineRule="auto"/>
              <w:ind w:right="31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-16,8</w:t>
            </w:r>
          </w:p>
        </w:tc>
        <w:tc>
          <w:tcPr>
            <w:tcW w:w="978" w:type="dxa"/>
            <w:noWrap/>
            <w:vAlign w:val="bottom"/>
            <w:hideMark/>
          </w:tcPr>
          <w:p w14:paraId="07438653"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20,6</w:t>
            </w:r>
          </w:p>
        </w:tc>
      </w:tr>
      <w:tr w:rsidR="00BD64F8" w14:paraId="658C8B13" w14:textId="77777777" w:rsidTr="008B5944">
        <w:trPr>
          <w:cantSplit/>
          <w:trHeight w:val="291"/>
          <w:jc w:val="center"/>
        </w:trPr>
        <w:tc>
          <w:tcPr>
            <w:tcW w:w="3918" w:type="dxa"/>
            <w:noWrap/>
            <w:vAlign w:val="bottom"/>
            <w:hideMark/>
          </w:tcPr>
          <w:p w14:paraId="3798B195" w14:textId="77777777" w:rsidR="00BD64F8" w:rsidRDefault="00BD64F8" w:rsidP="008B5944">
            <w:pPr>
              <w:spacing w:line="264" w:lineRule="auto"/>
              <w:rPr>
                <w:rFonts w:ascii="Arial" w:hAnsi="Arial" w:cs="Arial"/>
                <w:kern w:val="2"/>
                <w:sz w:val="20"/>
                <w:szCs w:val="20"/>
                <w14:ligatures w14:val="standardContextual"/>
              </w:rPr>
            </w:pPr>
            <w:r>
              <w:rPr>
                <w:rFonts w:ascii="Arial" w:hAnsi="Arial" w:cs="Arial"/>
                <w:kern w:val="2"/>
                <w:sz w:val="20"/>
                <w:szCs w:val="20"/>
                <w14:ligatures w14:val="standardContextual"/>
              </w:rPr>
              <w:t>Kinh doanh bất động sản</w:t>
            </w:r>
          </w:p>
        </w:tc>
        <w:tc>
          <w:tcPr>
            <w:tcW w:w="1555" w:type="dxa"/>
            <w:noWrap/>
            <w:vAlign w:val="bottom"/>
            <w:hideMark/>
          </w:tcPr>
          <w:p w14:paraId="77E16FCD"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2</w:t>
            </w:r>
            <w:r>
              <w:rPr>
                <w:rFonts w:ascii="Arial" w:hAnsi="Arial" w:cs="Arial"/>
                <w:kern w:val="2"/>
                <w:sz w:val="20"/>
                <w:szCs w:val="20"/>
                <w14:ligatures w14:val="standardContextual"/>
              </w:rPr>
              <w:t>.</w:t>
            </w:r>
            <w:r w:rsidRPr="004A05A2">
              <w:rPr>
                <w:rFonts w:ascii="Arial" w:hAnsi="Arial" w:cs="Arial"/>
                <w:kern w:val="2"/>
                <w:sz w:val="20"/>
                <w:szCs w:val="20"/>
                <w14:ligatures w14:val="standardContextual"/>
              </w:rPr>
              <w:t>962</w:t>
            </w:r>
          </w:p>
        </w:tc>
        <w:tc>
          <w:tcPr>
            <w:tcW w:w="1170" w:type="dxa"/>
            <w:noWrap/>
            <w:vAlign w:val="bottom"/>
            <w:hideMark/>
          </w:tcPr>
          <w:p w14:paraId="1E8B010A"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791</w:t>
            </w:r>
          </w:p>
        </w:tc>
        <w:tc>
          <w:tcPr>
            <w:tcW w:w="1495" w:type="dxa"/>
            <w:noWrap/>
            <w:vAlign w:val="bottom"/>
            <w:hideMark/>
          </w:tcPr>
          <w:p w14:paraId="55B38FF5" w14:textId="77777777" w:rsidR="00BD64F8" w:rsidRPr="00D60170" w:rsidRDefault="00BD64F8" w:rsidP="008B5944">
            <w:pPr>
              <w:spacing w:line="264" w:lineRule="auto"/>
              <w:ind w:right="31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7,2</w:t>
            </w:r>
          </w:p>
        </w:tc>
        <w:tc>
          <w:tcPr>
            <w:tcW w:w="978" w:type="dxa"/>
            <w:noWrap/>
            <w:vAlign w:val="bottom"/>
            <w:hideMark/>
          </w:tcPr>
          <w:p w14:paraId="64A6941A"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14,6</w:t>
            </w:r>
          </w:p>
        </w:tc>
      </w:tr>
      <w:tr w:rsidR="00BD64F8" w14:paraId="22923A71" w14:textId="77777777" w:rsidTr="008B5944">
        <w:trPr>
          <w:cantSplit/>
          <w:trHeight w:val="291"/>
          <w:jc w:val="center"/>
        </w:trPr>
        <w:tc>
          <w:tcPr>
            <w:tcW w:w="3918" w:type="dxa"/>
            <w:noWrap/>
            <w:vAlign w:val="bottom"/>
            <w:hideMark/>
          </w:tcPr>
          <w:p w14:paraId="5BC04BBD" w14:textId="77777777" w:rsidR="00BD64F8" w:rsidRDefault="00BD64F8" w:rsidP="008B5944">
            <w:pPr>
              <w:spacing w:line="264" w:lineRule="auto"/>
              <w:rPr>
                <w:rFonts w:ascii="Arial" w:hAnsi="Arial" w:cs="Arial"/>
                <w:kern w:val="2"/>
                <w:sz w:val="20"/>
                <w:szCs w:val="20"/>
                <w14:ligatures w14:val="standardContextual"/>
              </w:rPr>
            </w:pPr>
            <w:r>
              <w:rPr>
                <w:rFonts w:ascii="Arial" w:hAnsi="Arial" w:cs="Arial"/>
                <w:kern w:val="2"/>
                <w:sz w:val="20"/>
                <w:szCs w:val="20"/>
                <w14:ligatures w14:val="standardContextual"/>
              </w:rPr>
              <w:t>Vận tải kho bãi</w:t>
            </w:r>
          </w:p>
        </w:tc>
        <w:tc>
          <w:tcPr>
            <w:tcW w:w="1555" w:type="dxa"/>
            <w:noWrap/>
            <w:vAlign w:val="bottom"/>
            <w:hideMark/>
          </w:tcPr>
          <w:p w14:paraId="7B268AD1"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5</w:t>
            </w:r>
            <w:r>
              <w:rPr>
                <w:rFonts w:ascii="Arial" w:hAnsi="Arial" w:cs="Arial"/>
                <w:kern w:val="2"/>
                <w:sz w:val="20"/>
                <w:szCs w:val="20"/>
                <w14:ligatures w14:val="standardContextual"/>
              </w:rPr>
              <w:t>.</w:t>
            </w:r>
            <w:r w:rsidRPr="004A05A2">
              <w:rPr>
                <w:rFonts w:ascii="Arial" w:hAnsi="Arial" w:cs="Arial"/>
                <w:kern w:val="2"/>
                <w:sz w:val="20"/>
                <w:szCs w:val="20"/>
                <w14:ligatures w14:val="standardContextual"/>
              </w:rPr>
              <w:t>904</w:t>
            </w:r>
          </w:p>
        </w:tc>
        <w:tc>
          <w:tcPr>
            <w:tcW w:w="1170" w:type="dxa"/>
            <w:noWrap/>
            <w:vAlign w:val="bottom"/>
            <w:hideMark/>
          </w:tcPr>
          <w:p w14:paraId="10A8691E"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558</w:t>
            </w:r>
          </w:p>
        </w:tc>
        <w:tc>
          <w:tcPr>
            <w:tcW w:w="1495" w:type="dxa"/>
            <w:noWrap/>
            <w:vAlign w:val="bottom"/>
            <w:hideMark/>
          </w:tcPr>
          <w:p w14:paraId="27D55AAC" w14:textId="77777777" w:rsidR="00BD64F8" w:rsidRPr="00D60170" w:rsidRDefault="00BD64F8" w:rsidP="008B5944">
            <w:pPr>
              <w:spacing w:line="264" w:lineRule="auto"/>
              <w:ind w:right="31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13,7</w:t>
            </w:r>
          </w:p>
        </w:tc>
        <w:tc>
          <w:tcPr>
            <w:tcW w:w="978" w:type="dxa"/>
            <w:noWrap/>
            <w:vAlign w:val="bottom"/>
            <w:hideMark/>
          </w:tcPr>
          <w:p w14:paraId="3F0449DB"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23,7</w:t>
            </w:r>
          </w:p>
        </w:tc>
      </w:tr>
      <w:tr w:rsidR="00BD64F8" w14:paraId="2D4736E8" w14:textId="77777777" w:rsidTr="008B5944">
        <w:trPr>
          <w:cantSplit/>
          <w:trHeight w:val="291"/>
          <w:jc w:val="center"/>
        </w:trPr>
        <w:tc>
          <w:tcPr>
            <w:tcW w:w="3918" w:type="dxa"/>
            <w:noWrap/>
            <w:vAlign w:val="bottom"/>
            <w:hideMark/>
          </w:tcPr>
          <w:p w14:paraId="5ED8B965" w14:textId="77777777" w:rsidR="00BD64F8" w:rsidRDefault="00BD64F8" w:rsidP="008B5944">
            <w:pPr>
              <w:spacing w:line="264" w:lineRule="auto"/>
              <w:rPr>
                <w:rFonts w:ascii="Arial" w:hAnsi="Arial" w:cs="Arial"/>
                <w:kern w:val="2"/>
                <w:sz w:val="20"/>
                <w:szCs w:val="20"/>
                <w14:ligatures w14:val="standardContextual"/>
              </w:rPr>
            </w:pPr>
            <w:r>
              <w:rPr>
                <w:rFonts w:ascii="Arial" w:hAnsi="Arial" w:cs="Arial"/>
                <w:kern w:val="2"/>
                <w:sz w:val="20"/>
                <w:szCs w:val="20"/>
                <w14:ligatures w14:val="standardContextual"/>
              </w:rPr>
              <w:t>Dịch vụ lưu trú và ăn uống</w:t>
            </w:r>
          </w:p>
        </w:tc>
        <w:tc>
          <w:tcPr>
            <w:tcW w:w="1555" w:type="dxa"/>
            <w:noWrap/>
            <w:vAlign w:val="bottom"/>
            <w:hideMark/>
          </w:tcPr>
          <w:p w14:paraId="3B4D484F"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3</w:t>
            </w:r>
            <w:r>
              <w:rPr>
                <w:rFonts w:ascii="Arial" w:hAnsi="Arial" w:cs="Arial"/>
                <w:kern w:val="2"/>
                <w:sz w:val="20"/>
                <w:szCs w:val="20"/>
                <w14:ligatures w14:val="standardContextual"/>
              </w:rPr>
              <w:t>.</w:t>
            </w:r>
            <w:r w:rsidRPr="004A05A2">
              <w:rPr>
                <w:rFonts w:ascii="Arial" w:hAnsi="Arial" w:cs="Arial"/>
                <w:kern w:val="2"/>
                <w:sz w:val="20"/>
                <w:szCs w:val="20"/>
                <w14:ligatures w14:val="standardContextual"/>
              </w:rPr>
              <w:t>822</w:t>
            </w:r>
          </w:p>
        </w:tc>
        <w:tc>
          <w:tcPr>
            <w:tcW w:w="1170" w:type="dxa"/>
            <w:noWrap/>
            <w:vAlign w:val="bottom"/>
            <w:hideMark/>
          </w:tcPr>
          <w:p w14:paraId="1EDBD8C4"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728</w:t>
            </w:r>
          </w:p>
        </w:tc>
        <w:tc>
          <w:tcPr>
            <w:tcW w:w="1495" w:type="dxa"/>
            <w:noWrap/>
            <w:vAlign w:val="bottom"/>
            <w:hideMark/>
          </w:tcPr>
          <w:p w14:paraId="7317976A" w14:textId="77777777" w:rsidR="00BD64F8" w:rsidRPr="00D60170" w:rsidRDefault="00BD64F8" w:rsidP="008B5944">
            <w:pPr>
              <w:spacing w:line="264" w:lineRule="auto"/>
              <w:ind w:right="31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6,0</w:t>
            </w:r>
          </w:p>
        </w:tc>
        <w:tc>
          <w:tcPr>
            <w:tcW w:w="978" w:type="dxa"/>
            <w:noWrap/>
            <w:vAlign w:val="bottom"/>
            <w:hideMark/>
          </w:tcPr>
          <w:p w14:paraId="6B18B0E5"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35,6</w:t>
            </w:r>
          </w:p>
        </w:tc>
      </w:tr>
      <w:tr w:rsidR="00BD64F8" w14:paraId="59B71248" w14:textId="77777777" w:rsidTr="008B5944">
        <w:trPr>
          <w:cantSplit/>
          <w:trHeight w:val="291"/>
          <w:jc w:val="center"/>
        </w:trPr>
        <w:tc>
          <w:tcPr>
            <w:tcW w:w="3918" w:type="dxa"/>
            <w:tcBorders>
              <w:top w:val="nil"/>
              <w:left w:val="nil"/>
              <w:bottom w:val="single" w:sz="4" w:space="0" w:color="auto"/>
              <w:right w:val="nil"/>
            </w:tcBorders>
            <w:noWrap/>
            <w:vAlign w:val="bottom"/>
            <w:hideMark/>
          </w:tcPr>
          <w:p w14:paraId="2012238C" w14:textId="77777777" w:rsidR="00BD64F8" w:rsidRDefault="00BD64F8" w:rsidP="008B5944">
            <w:pPr>
              <w:spacing w:line="264" w:lineRule="auto"/>
              <w:rPr>
                <w:rFonts w:ascii="Arial" w:hAnsi="Arial" w:cs="Arial"/>
                <w:kern w:val="2"/>
                <w:sz w:val="20"/>
                <w:szCs w:val="20"/>
                <w14:ligatures w14:val="standardContextual"/>
              </w:rPr>
            </w:pPr>
            <w:r>
              <w:rPr>
                <w:rFonts w:ascii="Arial" w:hAnsi="Arial" w:cs="Arial"/>
                <w:kern w:val="2"/>
                <w:sz w:val="20"/>
                <w:szCs w:val="20"/>
                <w14:ligatures w14:val="standardContextual"/>
              </w:rPr>
              <w:t>Sản xuất phân phối, điện, nước, gas</w:t>
            </w:r>
          </w:p>
        </w:tc>
        <w:tc>
          <w:tcPr>
            <w:tcW w:w="1555" w:type="dxa"/>
            <w:tcBorders>
              <w:top w:val="nil"/>
              <w:left w:val="nil"/>
              <w:bottom w:val="single" w:sz="4" w:space="0" w:color="auto"/>
              <w:right w:val="nil"/>
            </w:tcBorders>
            <w:noWrap/>
            <w:vAlign w:val="bottom"/>
            <w:hideMark/>
          </w:tcPr>
          <w:p w14:paraId="72EA6D5A"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775</w:t>
            </w:r>
          </w:p>
        </w:tc>
        <w:tc>
          <w:tcPr>
            <w:tcW w:w="1170" w:type="dxa"/>
            <w:tcBorders>
              <w:top w:val="nil"/>
              <w:left w:val="nil"/>
              <w:bottom w:val="single" w:sz="4" w:space="0" w:color="auto"/>
              <w:right w:val="nil"/>
            </w:tcBorders>
            <w:noWrap/>
            <w:vAlign w:val="bottom"/>
            <w:hideMark/>
          </w:tcPr>
          <w:p w14:paraId="2671F814"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167</w:t>
            </w:r>
          </w:p>
        </w:tc>
        <w:tc>
          <w:tcPr>
            <w:tcW w:w="1495" w:type="dxa"/>
            <w:tcBorders>
              <w:top w:val="nil"/>
              <w:left w:val="nil"/>
              <w:bottom w:val="single" w:sz="4" w:space="0" w:color="auto"/>
              <w:right w:val="nil"/>
            </w:tcBorders>
            <w:noWrap/>
            <w:vAlign w:val="bottom"/>
            <w:hideMark/>
          </w:tcPr>
          <w:p w14:paraId="7D46DDC5" w14:textId="77777777" w:rsidR="00BD64F8" w:rsidRPr="00D60170" w:rsidRDefault="00BD64F8" w:rsidP="008B5944">
            <w:pPr>
              <w:spacing w:line="264" w:lineRule="auto"/>
              <w:ind w:right="316"/>
              <w:jc w:val="right"/>
              <w:rPr>
                <w:rFonts w:ascii="Arial" w:hAnsi="Arial" w:cs="Arial"/>
                <w:kern w:val="2"/>
                <w:sz w:val="20"/>
                <w:szCs w:val="20"/>
                <w:highlight w:val="yellow"/>
                <w14:ligatures w14:val="standardContextual"/>
              </w:rPr>
            </w:pPr>
            <w:r w:rsidRPr="004A05A2">
              <w:rPr>
                <w:rFonts w:ascii="Arial" w:hAnsi="Arial" w:cs="Arial"/>
                <w:kern w:val="2"/>
                <w:sz w:val="20"/>
                <w:szCs w:val="20"/>
                <w14:ligatures w14:val="standardContextual"/>
              </w:rPr>
              <w:t>9,5</w:t>
            </w:r>
          </w:p>
        </w:tc>
        <w:tc>
          <w:tcPr>
            <w:tcW w:w="978" w:type="dxa"/>
            <w:tcBorders>
              <w:top w:val="nil"/>
              <w:left w:val="nil"/>
              <w:bottom w:val="single" w:sz="4" w:space="0" w:color="auto"/>
              <w:right w:val="nil"/>
            </w:tcBorders>
            <w:noWrap/>
            <w:vAlign w:val="bottom"/>
            <w:hideMark/>
          </w:tcPr>
          <w:p w14:paraId="22B6CBD9" w14:textId="77777777" w:rsidR="00BD64F8" w:rsidRPr="00D60170" w:rsidRDefault="00BD64F8" w:rsidP="008B5944">
            <w:pPr>
              <w:spacing w:line="264" w:lineRule="auto"/>
              <w:ind w:right="176"/>
              <w:jc w:val="right"/>
              <w:rPr>
                <w:rFonts w:ascii="Arial" w:hAnsi="Arial" w:cs="Arial"/>
                <w:kern w:val="2"/>
                <w:sz w:val="20"/>
                <w:szCs w:val="20"/>
                <w:highlight w:val="yellow"/>
                <w14:ligatures w14:val="standardContextual"/>
              </w:rPr>
            </w:pPr>
            <w:r w:rsidRPr="00AF60AF">
              <w:rPr>
                <w:rFonts w:ascii="Arial" w:hAnsi="Arial" w:cs="Arial"/>
                <w:kern w:val="2"/>
                <w:sz w:val="20"/>
                <w:szCs w:val="20"/>
                <w14:ligatures w14:val="standardContextual"/>
              </w:rPr>
              <w:t>13,6</w:t>
            </w:r>
          </w:p>
        </w:tc>
      </w:tr>
    </w:tbl>
    <w:p w14:paraId="21C05337" w14:textId="6A45F216" w:rsidR="00796815" w:rsidRPr="000A74BB" w:rsidRDefault="00796815" w:rsidP="008B5944">
      <w:pPr>
        <w:spacing w:before="120" w:after="120" w:line="252" w:lineRule="auto"/>
        <w:ind w:firstLine="720"/>
        <w:jc w:val="both"/>
        <w:rPr>
          <w:b/>
          <w:bCs/>
          <w:lang w:val="af-ZA"/>
        </w:rPr>
      </w:pPr>
      <w:r w:rsidRPr="000A74BB">
        <w:rPr>
          <w:b/>
          <w:bCs/>
          <w:lang w:val="af-ZA"/>
        </w:rPr>
        <w:t>4. Đầu tư</w:t>
      </w:r>
    </w:p>
    <w:p w14:paraId="40C9A4D5" w14:textId="75557A94" w:rsidR="00C67D4D" w:rsidRPr="006B1136" w:rsidRDefault="00C67D4D" w:rsidP="008B5944">
      <w:pPr>
        <w:spacing w:after="120" w:line="252" w:lineRule="auto"/>
        <w:ind w:firstLine="720"/>
        <w:jc w:val="both"/>
        <w:rPr>
          <w:bCs/>
          <w:i/>
          <w:lang w:val="it-IT"/>
        </w:rPr>
      </w:pPr>
      <w:r w:rsidRPr="000A74BB">
        <w:rPr>
          <w:i/>
          <w:lang w:val="it-IT"/>
        </w:rPr>
        <w:t xml:space="preserve">Vốn đầu tư từ nguồn ngân sách Nhà nước tháng Bảy </w:t>
      </w:r>
      <w:r w:rsidRPr="00306C05">
        <w:rPr>
          <w:bCs/>
          <w:i/>
          <w:lang w:val="af-ZA"/>
        </w:rPr>
        <w:t>được các bộ, ngành và địa phương tập trung thực hiện</w:t>
      </w:r>
      <w:r w:rsidRPr="000A74BB">
        <w:rPr>
          <w:bCs/>
          <w:i/>
          <w:lang w:val="vi-VN"/>
        </w:rPr>
        <w:t xml:space="preserve">, </w:t>
      </w:r>
      <w:r w:rsidRPr="00306C05">
        <w:rPr>
          <w:bCs/>
          <w:i/>
          <w:lang w:val="af-ZA"/>
        </w:rPr>
        <w:t>đặc biệt đẩy nhanh tiến độ thực hiện các công trình lớn, trọng điểm, có tính lan tỏa.</w:t>
      </w:r>
      <w:r w:rsidRPr="00306C05">
        <w:rPr>
          <w:i/>
          <w:lang w:val="af-ZA"/>
        </w:rPr>
        <w:t xml:space="preserve"> T</w:t>
      </w:r>
      <w:r w:rsidRPr="000A74BB">
        <w:rPr>
          <w:i/>
          <w:lang w:val="it-IT"/>
        </w:rPr>
        <w:t xml:space="preserve">ính chung bảy tháng năm 2025, vốn đầu tư thực hiện từ </w:t>
      </w:r>
      <w:r w:rsidRPr="006B1136">
        <w:rPr>
          <w:i/>
          <w:lang w:val="it-IT"/>
        </w:rPr>
        <w:t xml:space="preserve">nguồn ngân sách Nhà nước ước đạt 40,7% kế hoạch, tăng 25,4% so với cùng kỳ năm trước. </w:t>
      </w:r>
      <w:r w:rsidRPr="008B5944">
        <w:rPr>
          <w:i/>
          <w:lang w:val="it-IT"/>
        </w:rPr>
        <w:t xml:space="preserve">Vốn đầu tư trực tiếp nước ngoài (FDI) thực hiện tại Việt Nam bảy tháng năm 2025 ước đạt </w:t>
      </w:r>
      <w:r w:rsidR="006B1136" w:rsidRPr="008B5944">
        <w:rPr>
          <w:i/>
          <w:lang w:val="it-IT"/>
        </w:rPr>
        <w:t>13,6</w:t>
      </w:r>
      <w:r w:rsidRPr="008B5944">
        <w:rPr>
          <w:i/>
          <w:lang w:val="it-IT"/>
        </w:rPr>
        <w:t xml:space="preserve"> tỷ USD</w:t>
      </w:r>
      <w:r w:rsidR="00714FAE" w:rsidRPr="008B5944">
        <w:rPr>
          <w:i/>
          <w:lang w:val="it-IT"/>
        </w:rPr>
        <w:t>,</w:t>
      </w:r>
      <w:r w:rsidRPr="008B5944">
        <w:rPr>
          <w:i/>
          <w:lang w:val="it-IT"/>
        </w:rPr>
        <w:t xml:space="preserve"> tăng </w:t>
      </w:r>
      <w:r w:rsidR="006B1136" w:rsidRPr="008B5944">
        <w:rPr>
          <w:i/>
          <w:lang w:val="it-IT"/>
        </w:rPr>
        <w:t>8,4%</w:t>
      </w:r>
      <w:r w:rsidRPr="008B5944">
        <w:rPr>
          <w:i/>
          <w:lang w:val="it-IT"/>
        </w:rPr>
        <w:t xml:space="preserve"> so với cùng kỳ năm trước</w:t>
      </w:r>
      <w:r w:rsidRPr="008B5944">
        <w:rPr>
          <w:i/>
          <w:iCs/>
          <w:lang w:val="de-DE"/>
        </w:rPr>
        <w:t>.</w:t>
      </w:r>
    </w:p>
    <w:p w14:paraId="12C55CF8" w14:textId="77777777" w:rsidR="00C67D4D" w:rsidRPr="000A74BB" w:rsidRDefault="00C67D4D" w:rsidP="005952D3">
      <w:pPr>
        <w:spacing w:after="120" w:line="264" w:lineRule="auto"/>
        <w:ind w:firstLine="720"/>
        <w:jc w:val="both"/>
        <w:rPr>
          <w:lang w:val="af-ZA"/>
        </w:rPr>
      </w:pPr>
      <w:r w:rsidRPr="006B1136">
        <w:rPr>
          <w:lang w:val="af-ZA"/>
        </w:rPr>
        <w:lastRenderedPageBreak/>
        <w:t>Vốn đầu tư thực hiện từ</w:t>
      </w:r>
      <w:r w:rsidRPr="000A74BB">
        <w:rPr>
          <w:lang w:val="af-ZA"/>
        </w:rPr>
        <w:t xml:space="preserve"> nguồn ngân sách Nhà nước tháng Bảy ước đạt 76,5 nghìn tỷ đồng, tăng 30,1% so với cùng kỳ năm trước, bao gồm: Vốn Trung ương quản lý đạt 10,8 nghìn tỷ đồng, tăng 4,7%; vốn địa phương quản lý 65,7 nghìn tỷ đồng, tăng 35,5%. Tính chung bảy tháng năm 2025, vốn đầu tư thực hiện từ nguồn ngân sách Nhà nước ước đạt 378,3 nghìn tỷ đồng, bằng 40,7% kế hoạch năm và tăng 25,4% so với cùng kỳ năm trước (cùng kỳ năm 2024 bằng 38,6% và tăng 2,4%). Cụ thể:</w:t>
      </w:r>
    </w:p>
    <w:p w14:paraId="388C448D" w14:textId="77777777" w:rsidR="00C67D4D" w:rsidRPr="000A74BB" w:rsidRDefault="00C67D4D" w:rsidP="005952D3">
      <w:pPr>
        <w:spacing w:after="120" w:line="264" w:lineRule="auto"/>
        <w:ind w:firstLine="720"/>
        <w:jc w:val="both"/>
        <w:rPr>
          <w:lang w:val="af-ZA"/>
        </w:rPr>
      </w:pPr>
      <w:r w:rsidRPr="000A74BB">
        <w:rPr>
          <w:bCs/>
          <w:iCs/>
          <w:lang w:val="af-ZA"/>
        </w:rPr>
        <w:t xml:space="preserve">- </w:t>
      </w:r>
      <w:r w:rsidRPr="000A74BB">
        <w:rPr>
          <w:lang w:val="af-ZA"/>
        </w:rPr>
        <w:t xml:space="preserve">Vốn đầu tư thực hiện do Trung ương quản lý ước đạt 54,2 nghìn tỷ đồng, bằng 38,2% kế hoạch năm và tăng 5,8% so với cùng kỳ năm trước. Trong đó, Bộ Xây dựng đạt 33,8 nghìn tỷ đồng, tăng 2,7%; Bộ Nông nghiệp và Môi trường đạt 8,5 nghìn tỷ đồng, tăng 56,8%; Bộ Y tế đạt 1,4 nghìn tỷ đồng, gấp 2,8 lần; Bộ Giáo dục và Đào tạo đạt 838,7 tỷ đồng, tăng 66,7%; Bộ Văn hóa, Thể thao và Du lịch đạt 373,4 tỷ đồng, tăng 23,5%; Bộ Khoa học và Công nghệ đạt 220,7 tỷ đồng, giảm 8,6%; Bộ Công Thương đạt 112,8 tỷ đồng, giảm 59,6%. </w:t>
      </w:r>
    </w:p>
    <w:p w14:paraId="782EA05F" w14:textId="77777777" w:rsidR="00C67D4D" w:rsidRPr="000A74BB" w:rsidRDefault="00C67D4D" w:rsidP="005952D3">
      <w:pPr>
        <w:spacing w:after="120" w:line="264" w:lineRule="auto"/>
        <w:ind w:firstLine="720"/>
        <w:jc w:val="both"/>
        <w:rPr>
          <w:bCs/>
          <w:iCs/>
          <w:lang w:val="af-ZA"/>
        </w:rPr>
      </w:pPr>
      <w:r w:rsidRPr="000A74BB">
        <w:rPr>
          <w:bCs/>
          <w:iCs/>
          <w:lang w:val="af-ZA"/>
        </w:rPr>
        <w:t>- Vốn đầu tư thực hiện do địa phương quản lý ước đạt 324,1 nghìn tỷ đồng, bằng 41,1% kế hoạch năm và tăng 29,4% so với cùng kỳ năm trước, trong đó:</w:t>
      </w:r>
    </w:p>
    <w:p w14:paraId="2FCB63D5" w14:textId="77777777" w:rsidR="00C67D4D" w:rsidRPr="000A74BB" w:rsidRDefault="00C67D4D" w:rsidP="005952D3">
      <w:pPr>
        <w:spacing w:after="120" w:line="264" w:lineRule="auto"/>
        <w:ind w:firstLine="720"/>
        <w:jc w:val="both"/>
        <w:rPr>
          <w:bCs/>
          <w:iCs/>
          <w:lang w:val="af-ZA"/>
        </w:rPr>
      </w:pPr>
      <w:r w:rsidRPr="000A74BB">
        <w:rPr>
          <w:bCs/>
          <w:iCs/>
          <w:lang w:val="af-ZA"/>
        </w:rPr>
        <w:t>Vốn ngân sách Nhà nước cấp tỉnh đạt 259,2 nghìn tỷ đồng, bằng 39,8% và tăng 33,5% so với cùng kỳ năm 2024;</w:t>
      </w:r>
    </w:p>
    <w:p w14:paraId="28C1BE05" w14:textId="77777777" w:rsidR="00C67D4D" w:rsidRPr="000A74BB" w:rsidRDefault="00C67D4D" w:rsidP="005952D3">
      <w:pPr>
        <w:spacing w:after="120" w:line="264" w:lineRule="auto"/>
        <w:ind w:firstLine="720"/>
        <w:jc w:val="both"/>
        <w:rPr>
          <w:bCs/>
          <w:iCs/>
          <w:lang w:val="af-ZA"/>
        </w:rPr>
      </w:pPr>
      <w:r w:rsidRPr="000A74BB">
        <w:rPr>
          <w:bCs/>
          <w:iCs/>
          <w:lang w:val="af-ZA"/>
        </w:rPr>
        <w:t>Vốn ngân sách Nhà nước cấp xã đạt 64,9 nghìn tỷ đồng, bằng 47,6% và tăng 15,3%.</w:t>
      </w:r>
    </w:p>
    <w:p w14:paraId="2BA37EEA" w14:textId="77777777" w:rsidR="00C67D4D" w:rsidRPr="000A74BB" w:rsidRDefault="00C67D4D" w:rsidP="005952D3">
      <w:pPr>
        <w:spacing w:after="120" w:line="264" w:lineRule="auto"/>
        <w:ind w:firstLine="720"/>
        <w:jc w:val="both"/>
        <w:rPr>
          <w:rFonts w:ascii="Arial" w:hAnsi="Arial" w:cs="Arial"/>
          <w:b/>
          <w:bCs/>
          <w:sz w:val="24"/>
          <w:szCs w:val="24"/>
          <w:lang w:val="af-ZA"/>
        </w:rPr>
      </w:pPr>
      <w:r w:rsidRPr="000A74BB">
        <w:rPr>
          <w:bCs/>
          <w:iCs/>
          <w:lang w:val="af-ZA"/>
        </w:rPr>
        <w:t>Vốn đầu tư thực hiện từ nguồn ngân sách Nhà nước bảy tháng năm 2025 của một số tỉnh, thành phố trực thuộc Trung ương như sau:</w:t>
      </w:r>
    </w:p>
    <w:p w14:paraId="3A489A38" w14:textId="47759432" w:rsidR="00C67D4D" w:rsidRPr="000A74BB" w:rsidRDefault="00C67D4D" w:rsidP="00C67D4D">
      <w:pPr>
        <w:spacing w:line="276" w:lineRule="auto"/>
        <w:jc w:val="center"/>
        <w:rPr>
          <w:rFonts w:ascii="Arial" w:hAnsi="Arial" w:cs="Arial"/>
          <w:b/>
          <w:bCs/>
          <w:sz w:val="24"/>
          <w:szCs w:val="24"/>
          <w:lang w:val="af-ZA"/>
        </w:rPr>
      </w:pPr>
      <w:r w:rsidRPr="000A74BB">
        <w:rPr>
          <w:rFonts w:ascii="Arial" w:hAnsi="Arial" w:cs="Arial"/>
          <w:b/>
          <w:bCs/>
          <w:sz w:val="24"/>
          <w:szCs w:val="24"/>
          <w:lang w:val="af-ZA"/>
        </w:rPr>
        <w:t xml:space="preserve">Hình 6. Vốn đầu tư thực hiện từ nguồn ngân sách Nhà nước </w:t>
      </w:r>
    </w:p>
    <w:p w14:paraId="0E512D90" w14:textId="77777777" w:rsidR="00C67D4D" w:rsidRPr="000A74BB" w:rsidRDefault="00C67D4D" w:rsidP="00C67D4D">
      <w:pPr>
        <w:spacing w:line="276" w:lineRule="auto"/>
        <w:jc w:val="center"/>
        <w:rPr>
          <w:rFonts w:ascii="Arial" w:hAnsi="Arial" w:cs="Arial"/>
          <w:b/>
          <w:bCs/>
          <w:sz w:val="24"/>
          <w:szCs w:val="24"/>
          <w:lang w:val="af-ZA"/>
        </w:rPr>
      </w:pPr>
      <w:r w:rsidRPr="000A74BB">
        <w:rPr>
          <w:rFonts w:ascii="Arial" w:hAnsi="Arial" w:cs="Arial"/>
          <w:b/>
          <w:bCs/>
          <w:sz w:val="24"/>
          <w:szCs w:val="24"/>
          <w:lang w:val="af-ZA"/>
        </w:rPr>
        <w:t>7 tháng năm 2024 - 2025 của một số địa phương</w:t>
      </w:r>
    </w:p>
    <w:p w14:paraId="5B4DB145" w14:textId="3CCE3577" w:rsidR="00C67D4D" w:rsidRPr="000A74BB" w:rsidRDefault="00D8287C" w:rsidP="00C67D4D">
      <w:pPr>
        <w:spacing w:line="276" w:lineRule="auto"/>
        <w:jc w:val="center"/>
        <w:rPr>
          <w:rFonts w:ascii="Arial" w:hAnsi="Arial" w:cs="Arial"/>
          <w:b/>
          <w:bCs/>
          <w:sz w:val="24"/>
          <w:szCs w:val="24"/>
          <w:lang w:val="af-ZA"/>
        </w:rPr>
      </w:pPr>
      <w:r w:rsidRPr="008B5944">
        <w:rPr>
          <w:noProof/>
          <w14:ligatures w14:val="standardContextual"/>
        </w:rPr>
        <w:drawing>
          <wp:inline distT="0" distB="0" distL="0" distR="0" wp14:anchorId="04D66318" wp14:editId="2B8D659D">
            <wp:extent cx="5699760" cy="3206115"/>
            <wp:effectExtent l="0" t="0" r="15240" b="13335"/>
            <wp:docPr id="1026176391"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04E921" w14:textId="77777777" w:rsidR="00D6457E" w:rsidRPr="00D6457E" w:rsidRDefault="00D6457E" w:rsidP="008B5944">
      <w:pPr>
        <w:spacing w:before="120" w:after="120" w:line="264" w:lineRule="auto"/>
        <w:ind w:firstLine="720"/>
        <w:jc w:val="both"/>
        <w:rPr>
          <w:iCs/>
          <w:lang w:val="de-DE"/>
          <w14:ligatures w14:val="standardContextual"/>
        </w:rPr>
      </w:pPr>
      <w:r w:rsidRPr="00D6457E">
        <w:rPr>
          <w:i/>
          <w:iCs/>
          <w:lang w:val="de-DE"/>
          <w14:ligatures w14:val="standardContextual"/>
        </w:rPr>
        <w:lastRenderedPageBreak/>
        <w:t>Tổng vốn đầu tư nước ngoài đăng ký vào Việt Nam</w:t>
      </w:r>
      <w:r w:rsidRPr="00D6457E">
        <w:rPr>
          <w:i/>
          <w:iCs/>
          <w:vertAlign w:val="superscript"/>
          <w:lang w:val="de-DE"/>
          <w14:ligatures w14:val="standardContextual"/>
        </w:rPr>
        <w:footnoteReference w:id="11"/>
      </w:r>
      <w:r w:rsidRPr="00D6457E">
        <w:rPr>
          <w:i/>
          <w:iCs/>
          <w:lang w:val="de-DE"/>
          <w14:ligatures w14:val="standardContextual"/>
        </w:rPr>
        <w:t xml:space="preserve"> </w:t>
      </w:r>
      <w:r w:rsidRPr="00D6457E">
        <w:rPr>
          <w:iCs/>
          <w:lang w:val="de-DE"/>
          <w14:ligatures w14:val="standardContextual"/>
        </w:rPr>
        <w:t>tính đến ngày 31/7/2025 bao gồm: Vốn đăng ký cấp mới, vốn đăng ký điều chỉnh và giá trị góp vốn, mua cổ phần của nhà đầu tư nước ngoài đạt 24,09 tỷ USD, tăng 27,3% so với cùng kỳ năm trước.</w:t>
      </w:r>
    </w:p>
    <w:p w14:paraId="29709F49" w14:textId="0881E1D9" w:rsidR="00D6457E" w:rsidRPr="00D6457E" w:rsidRDefault="00D6457E" w:rsidP="00D6457E">
      <w:pPr>
        <w:jc w:val="center"/>
        <w:rPr>
          <w:rFonts w:ascii="Arial" w:hAnsi="Arial" w:cs="Arial"/>
          <w:b/>
          <w:bCs/>
          <w:sz w:val="24"/>
          <w:lang w:val="de-DE"/>
          <w14:ligatures w14:val="standardContextual"/>
        </w:rPr>
      </w:pPr>
      <w:r w:rsidRPr="00D6457E">
        <w:rPr>
          <w:rFonts w:ascii="Arial" w:hAnsi="Arial" w:cs="Arial"/>
          <w:b/>
          <w:bCs/>
          <w:sz w:val="24"/>
          <w:lang w:val="de-DE"/>
          <w14:ligatures w14:val="standardContextual"/>
        </w:rPr>
        <w:t xml:space="preserve">Hình </w:t>
      </w:r>
      <w:r>
        <w:rPr>
          <w:rFonts w:ascii="Arial" w:hAnsi="Arial" w:cs="Arial"/>
          <w:b/>
          <w:bCs/>
          <w:sz w:val="24"/>
          <w:lang w:val="de-DE"/>
          <w14:ligatures w14:val="standardContextual"/>
        </w:rPr>
        <w:t>7</w:t>
      </w:r>
      <w:r w:rsidRPr="00D6457E">
        <w:rPr>
          <w:rFonts w:ascii="Arial" w:hAnsi="Arial" w:cs="Arial"/>
          <w:b/>
          <w:bCs/>
          <w:sz w:val="24"/>
          <w:lang w:val="de-DE"/>
          <w14:ligatures w14:val="standardContextual"/>
        </w:rPr>
        <w:t>. Vốn đầu tư nước ngoài đăng ký vào Việt Nam</w:t>
      </w:r>
    </w:p>
    <w:p w14:paraId="4720FB69" w14:textId="1529DD21" w:rsidR="00D6457E" w:rsidRPr="00D6457E" w:rsidRDefault="00D6457E" w:rsidP="008B5944">
      <w:pPr>
        <w:jc w:val="center"/>
        <w:rPr>
          <w:iCs/>
          <w:lang w:val="de-DE"/>
          <w14:ligatures w14:val="standardContextual"/>
        </w:rPr>
      </w:pPr>
      <w:r w:rsidRPr="00D6457E">
        <w:rPr>
          <w:rFonts w:ascii="Arial" w:hAnsi="Arial" w:cs="Arial"/>
          <w:b/>
          <w:bCs/>
          <w:sz w:val="24"/>
          <w:lang w:val="de-DE"/>
          <w14:ligatures w14:val="standardContextual"/>
        </w:rPr>
        <w:t>7 tháng các năm 2021-2025 (Tỷ USD</w:t>
      </w:r>
      <w:r w:rsidRPr="00D6457E">
        <w:rPr>
          <w:rFonts w:ascii="Arial" w:hAnsi="Arial" w:cs="Arial"/>
          <w:b/>
          <w:bCs/>
          <w:sz w:val="24"/>
          <w:szCs w:val="24"/>
          <w:lang w:val="de-DE"/>
          <w14:ligatures w14:val="standardContextual"/>
        </w:rPr>
        <w:t>)</w:t>
      </w:r>
    </w:p>
    <w:p w14:paraId="5759B758" w14:textId="77777777" w:rsidR="00D6457E" w:rsidRPr="00D6457E" w:rsidRDefault="00D6457E" w:rsidP="008B5944">
      <w:pPr>
        <w:spacing w:before="120" w:after="120"/>
        <w:jc w:val="center"/>
        <w:rPr>
          <w:iCs/>
          <w:lang w:val="de-DE"/>
          <w14:ligatures w14:val="standardContextual"/>
        </w:rPr>
      </w:pPr>
      <w:r w:rsidRPr="008B5944">
        <w:rPr>
          <w:rFonts w:ascii="Calibri" w:hAnsi="Calibri" w:cs="Calibri"/>
          <w:noProof/>
          <w:sz w:val="22"/>
          <w:szCs w:val="22"/>
          <w14:ligatures w14:val="standardContextual"/>
        </w:rPr>
        <w:drawing>
          <wp:inline distT="0" distB="0" distL="0" distR="0" wp14:anchorId="14D75B17" wp14:editId="3AEBF47F">
            <wp:extent cx="5286375" cy="2315688"/>
            <wp:effectExtent l="0" t="0" r="9525" b="8890"/>
            <wp:docPr id="817890113"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B2FAA2" w14:textId="77777777" w:rsidR="00D6457E" w:rsidRPr="008B5944" w:rsidRDefault="00D6457E" w:rsidP="008B5944">
      <w:pPr>
        <w:spacing w:after="120" w:line="264" w:lineRule="auto"/>
        <w:ind w:firstLine="720"/>
        <w:jc w:val="both"/>
        <w:rPr>
          <w:iCs/>
          <w:spacing w:val="-4"/>
          <w:lang w:val="de-DE"/>
          <w14:ligatures w14:val="standardContextual"/>
        </w:rPr>
      </w:pPr>
      <w:r w:rsidRPr="008B5944">
        <w:rPr>
          <w:iCs/>
          <w:spacing w:val="-4"/>
          <w:lang w:val="de-DE"/>
          <w14:ligatures w14:val="standardContextual"/>
        </w:rPr>
        <w:t>- Vốn đăng ký cấp mới có 2.254 dự án được cấp phép với số vốn đăng ký đạt 10,03 tỷ USD, tăng 15,2% so với cùng kỳ năm trước về số dự án và giảm 11,1% về số vốn đăng ký. Trong đó, ngành công nghiệp chế biến, chế tạo được cấp phép mới đầu tư trực tiếp nước ngoài lớn nhất với số vốn đăng ký đạt 5,61 tỷ USD, chiếm 55,9% tổng vốn đăng ký cấp mới; hoạt động kinh doanh bất động sản đạt 2,36 tỷ USD, chiếm 23,5%; các ngành còn lại đạt 2,06 tỷ USD, chiếm 20,6%.</w:t>
      </w:r>
    </w:p>
    <w:p w14:paraId="0045EF9F" w14:textId="77777777" w:rsidR="00D6457E" w:rsidRPr="00D6457E" w:rsidRDefault="00D6457E" w:rsidP="008B5944">
      <w:pPr>
        <w:spacing w:after="120" w:line="264" w:lineRule="auto"/>
        <w:ind w:firstLine="720"/>
        <w:jc w:val="both"/>
        <w:rPr>
          <w:iCs/>
          <w:lang w:val="de-DE"/>
          <w14:ligatures w14:val="standardContextual"/>
        </w:rPr>
      </w:pPr>
      <w:r w:rsidRPr="00D6457E">
        <w:rPr>
          <w:iCs/>
          <w:lang w:val="de-DE"/>
          <w14:ligatures w14:val="standardContextual"/>
        </w:rPr>
        <w:t>Trong số 74 quốc gia và vùng lãnh thổ có dự án đầu tư được cấp phép mới tại Việt Nam trong bảy tháng năm 2025, Xin-ga-po là nhà đầu tư lớn nhất với 2,84 tỷ USD, chiếm 28,3% tổng vốn đăng ký cấp mới; tiếp đến là Trung Quốc 2</w:t>
      </w:r>
      <w:r w:rsidRPr="00D6457E">
        <w:rPr>
          <w:iCs/>
          <w14:ligatures w14:val="standardContextual"/>
        </w:rPr>
        <w:t>,27</w:t>
      </w:r>
      <w:r w:rsidRPr="00D6457E">
        <w:rPr>
          <w:iCs/>
          <w:lang w:val="de-DE"/>
          <w14:ligatures w14:val="standardContextual"/>
        </w:rPr>
        <w:t xml:space="preserve"> tỷ USD, chiếm 22,6%; Thụy Điển 1,0 tỷ USD, chiếm 10,0%; Nhật Bản 865,8 triệu USD, chiếm 8,6%; Đài Loan 735,0 triệu USD, chiếm 7,3%; Đặc khu hành chính Hồng Công (Trung Quốc) 721,2 triệu USD, chiếm 7,2%; Quần đảo Virgin thuộc Anh 317,1 triệu USD, chiếm 3</w:t>
      </w:r>
      <w:r w:rsidRPr="00D6457E">
        <w:rPr>
          <w:iCs/>
          <w:lang w:val="vi-VN"/>
          <w14:ligatures w14:val="standardContextual"/>
        </w:rPr>
        <w:t>,</w:t>
      </w:r>
      <w:r w:rsidRPr="00D6457E">
        <w:rPr>
          <w:iCs/>
          <w14:ligatures w14:val="standardContextual"/>
        </w:rPr>
        <w:t>2</w:t>
      </w:r>
      <w:r w:rsidRPr="00D6457E">
        <w:rPr>
          <w:iCs/>
          <w:lang w:val="de-DE"/>
          <w14:ligatures w14:val="standardContextual"/>
        </w:rPr>
        <w:t xml:space="preserve">%. </w:t>
      </w:r>
    </w:p>
    <w:p w14:paraId="16066747" w14:textId="77777777" w:rsidR="00D6457E" w:rsidRPr="00D6457E" w:rsidRDefault="00D6457E" w:rsidP="008B5944">
      <w:pPr>
        <w:spacing w:after="120" w:line="264" w:lineRule="auto"/>
        <w:ind w:firstLine="720"/>
        <w:jc w:val="both"/>
        <w:rPr>
          <w:iCs/>
          <w:lang w:val="de-DE"/>
          <w14:ligatures w14:val="standardContextual"/>
        </w:rPr>
      </w:pPr>
      <w:r w:rsidRPr="00D6457E">
        <w:rPr>
          <w:iCs/>
          <w:lang w:val="de-DE"/>
          <w14:ligatures w14:val="standardContextual"/>
        </w:rPr>
        <w:t>- Vốn đăng ký điều chỉnh có 920 lượt dự án đã cấp phép từ các năm trước đăng ký điều chỉnh vốn đầu tư tăng thêm 9,99 tỷ USD, tăng 95,3% so với cùng kỳ năm trước.</w:t>
      </w:r>
    </w:p>
    <w:p w14:paraId="0EB4D156" w14:textId="77777777" w:rsidR="00D6457E" w:rsidRPr="00D6457E" w:rsidRDefault="00D6457E" w:rsidP="008B5944">
      <w:pPr>
        <w:spacing w:after="120" w:line="264" w:lineRule="auto"/>
        <w:ind w:firstLine="720"/>
        <w:jc w:val="both"/>
        <w:rPr>
          <w:iCs/>
          <w:lang w:val="de-DE"/>
          <w14:ligatures w14:val="standardContextual"/>
        </w:rPr>
      </w:pPr>
      <w:r w:rsidRPr="00D6457E">
        <w:rPr>
          <w:iCs/>
          <w:lang w:val="de-DE"/>
          <w14:ligatures w14:val="standardContextual"/>
        </w:rPr>
        <w:t>Nếu tính cả vốn đăng ký mới và vốn đăng ký điều chỉnh của các dự án đã cấp phép từ các năm trước thì vốn đầu tư trực tiếp nước ngoài đăng ký vào ngành công nghiệp chế biến, chế tạo đạt 12,12 tỷ USD, chiếm 60,6% tổng vốn đăng ký cấp mới và tăng thêm; hoạt động kinh doanh bất động sản đạt 4,95 tỷ USD, chiếm 24,7%; các ngành còn lại đạt 2,94 tỷ USD, chiếm 14,7%.</w:t>
      </w:r>
    </w:p>
    <w:p w14:paraId="49CF771C" w14:textId="116B81BA" w:rsidR="00D6457E" w:rsidRPr="00D6457E" w:rsidRDefault="00D6457E" w:rsidP="008B5944">
      <w:pPr>
        <w:spacing w:after="120" w:line="259" w:lineRule="auto"/>
        <w:ind w:firstLine="720"/>
        <w:jc w:val="both"/>
        <w:rPr>
          <w:iCs/>
          <w:lang w:val="de-DE"/>
          <w14:ligatures w14:val="standardContextual"/>
        </w:rPr>
      </w:pPr>
      <w:r w:rsidRPr="00D6457E">
        <w:rPr>
          <w:iCs/>
          <w:lang w:val="de-DE"/>
          <w14:ligatures w14:val="standardContextual"/>
        </w:rPr>
        <w:lastRenderedPageBreak/>
        <w:t xml:space="preserve">- Vốn đăng ký góp vốn, mua cổ phần của nhà đầu tư nước ngoài có 1.982 lượt với </w:t>
      </w:r>
      <w:r w:rsidRPr="006E70F3">
        <w:rPr>
          <w:iCs/>
          <w:lang w:val="de-DE"/>
          <w14:ligatures w14:val="standardContextual"/>
        </w:rPr>
        <w:t>tổng giá trị góp vốn 4,07 tỷ USD, tăng 61,0% so với cùng kỳ năm trước</w:t>
      </w:r>
      <w:r w:rsidRPr="006E70F3">
        <w:rPr>
          <w:iCs/>
          <w14:ligatures w14:val="standardContextual"/>
        </w:rPr>
        <w:t>.</w:t>
      </w:r>
      <w:r w:rsidRPr="00A1441B">
        <w:rPr>
          <w:iCs/>
          <w:lang w:val="de-DE"/>
          <w14:ligatures w14:val="standardContextual"/>
        </w:rPr>
        <w:t xml:space="preserve"> </w:t>
      </w:r>
      <w:r w:rsidRPr="008B5944">
        <w:rPr>
          <w:iCs/>
          <w:lang w:val="de-DE"/>
          <w14:ligatures w14:val="standardContextual"/>
        </w:rPr>
        <w:t xml:space="preserve">Trong đó, có </w:t>
      </w:r>
      <w:r w:rsidR="00234456" w:rsidRPr="008B5944">
        <w:rPr>
          <w:iCs/>
          <w:lang w:val="de-DE"/>
          <w14:ligatures w14:val="standardContextual"/>
        </w:rPr>
        <w:t xml:space="preserve">836 </w:t>
      </w:r>
      <w:r w:rsidRPr="008B5944">
        <w:rPr>
          <w:iCs/>
          <w:lang w:val="de-DE"/>
          <w14:ligatures w14:val="standardContextual"/>
        </w:rPr>
        <w:t xml:space="preserve">lượt góp vốn, mua cổ phần làm tăng vốn điều lệ của doanh nghiệp với giá trị góp vốn là </w:t>
      </w:r>
      <w:r w:rsidR="00234456" w:rsidRPr="008B5944">
        <w:rPr>
          <w:iCs/>
          <w:lang w:val="de-DE"/>
          <w14:ligatures w14:val="standardContextual"/>
        </w:rPr>
        <w:t>1,52</w:t>
      </w:r>
      <w:r w:rsidRPr="008B5944">
        <w:rPr>
          <w:iCs/>
          <w:lang w:val="de-DE"/>
          <w14:ligatures w14:val="standardContextual"/>
        </w:rPr>
        <w:t xml:space="preserve"> tỷ USD và </w:t>
      </w:r>
      <w:r w:rsidR="00234456" w:rsidRPr="008B5944">
        <w:rPr>
          <w:iCs/>
          <w:lang w:val="de-DE"/>
          <w14:ligatures w14:val="standardContextual"/>
        </w:rPr>
        <w:t>1.146</w:t>
      </w:r>
      <w:r w:rsidRPr="008B5944">
        <w:rPr>
          <w:iCs/>
          <w:lang w:val="de-DE"/>
          <w14:ligatures w14:val="standardContextual"/>
        </w:rPr>
        <w:t xml:space="preserve"> lượt nhà đầu tư nước ngoài mua lại cổ phần trong nước mà không làm tăng vốn điều lệ với giá trị </w:t>
      </w:r>
      <w:r w:rsidR="00234456" w:rsidRPr="008B5944">
        <w:rPr>
          <w:iCs/>
          <w:lang w:val="de-DE"/>
          <w14:ligatures w14:val="standardContextual"/>
        </w:rPr>
        <w:t>2,55</w:t>
      </w:r>
      <w:r w:rsidRPr="008B5944">
        <w:rPr>
          <w:iCs/>
          <w:lang w:val="de-DE"/>
          <w14:ligatures w14:val="standardContextual"/>
        </w:rPr>
        <w:t xml:space="preserve"> tỷ USD. </w:t>
      </w:r>
      <w:r w:rsidRPr="006E70F3">
        <w:rPr>
          <w:iCs/>
          <w:lang w:val="de-DE"/>
          <w14:ligatures w14:val="standardContextual"/>
        </w:rPr>
        <w:t>Đối với hình thức góp vốn, mua cổ phần của nhà đầu tư nước ngoài, vốn đầu tư vào công nghiệp chế biến, chế tạo đạt 1</w:t>
      </w:r>
      <w:r w:rsidRPr="008B5944">
        <w:rPr>
          <w:iCs/>
          <w14:ligatures w14:val="standardContextual"/>
        </w:rPr>
        <w:t xml:space="preserve">,6 </w:t>
      </w:r>
      <w:r w:rsidRPr="008B5944">
        <w:rPr>
          <w:iCs/>
          <w:lang w:val="de-DE"/>
          <w14:ligatures w14:val="standardContextual"/>
        </w:rPr>
        <w:t>tỷ USD, chiếm 39</w:t>
      </w:r>
      <w:r w:rsidRPr="008B5944">
        <w:rPr>
          <w:iCs/>
          <w14:ligatures w14:val="standardContextual"/>
        </w:rPr>
        <w:t>,3%</w:t>
      </w:r>
      <w:r w:rsidRPr="008B5944">
        <w:rPr>
          <w:iCs/>
          <w:lang w:val="de-DE"/>
          <w14:ligatures w14:val="standardContextual"/>
        </w:rPr>
        <w:t xml:space="preserve"> giá trị góp vốn; hoạt </w:t>
      </w:r>
      <w:r w:rsidRPr="00D6457E">
        <w:rPr>
          <w:iCs/>
          <w:lang w:val="de-DE"/>
          <w14:ligatures w14:val="standardContextual"/>
        </w:rPr>
        <w:t>động chuyên môn, khoa học công nghệ đạt 827,2 triệu USD, chiếm 20,3%; ngành còn lại 1,65 tỷ USD, chiếm 40</w:t>
      </w:r>
      <w:r w:rsidRPr="00D6457E">
        <w:rPr>
          <w:iCs/>
          <w14:ligatures w14:val="standardContextual"/>
        </w:rPr>
        <w:t>,4</w:t>
      </w:r>
      <w:r w:rsidRPr="00D6457E">
        <w:rPr>
          <w:iCs/>
          <w:lang w:val="de-DE"/>
          <w14:ligatures w14:val="standardContextual"/>
        </w:rPr>
        <w:t>%.</w:t>
      </w:r>
    </w:p>
    <w:p w14:paraId="37195947" w14:textId="77777777" w:rsidR="00D6457E" w:rsidRPr="00D6457E" w:rsidRDefault="00D6457E" w:rsidP="008B5944">
      <w:pPr>
        <w:spacing w:after="120" w:line="259" w:lineRule="auto"/>
        <w:ind w:firstLine="720"/>
        <w:jc w:val="both"/>
        <w:rPr>
          <w:rFonts w:ascii="Arial" w:hAnsi="Arial" w:cs="Arial"/>
          <w:b/>
          <w:bCs/>
          <w:sz w:val="24"/>
          <w:lang w:val="de-DE"/>
          <w14:ligatures w14:val="standardContextual"/>
        </w:rPr>
      </w:pPr>
      <w:r w:rsidRPr="00D6457E">
        <w:rPr>
          <w:i/>
          <w:iCs/>
          <w:lang w:val="de-DE"/>
          <w14:ligatures w14:val="standardContextual"/>
        </w:rPr>
        <w:t xml:space="preserve">Vốn đầu tư trực tiếp nước ngoài thực hiện tại Việt Nam </w:t>
      </w:r>
      <w:r w:rsidRPr="00D6457E">
        <w:rPr>
          <w:iCs/>
          <w:lang w:val="de-DE"/>
          <w14:ligatures w14:val="standardContextual"/>
        </w:rPr>
        <w:t>bảy</w:t>
      </w:r>
      <w:r w:rsidRPr="00D6457E">
        <w:rPr>
          <w:i/>
          <w:iCs/>
          <w:lang w:val="de-DE"/>
          <w14:ligatures w14:val="standardContextual"/>
        </w:rPr>
        <w:t xml:space="preserve"> </w:t>
      </w:r>
      <w:r w:rsidRPr="00D6457E">
        <w:rPr>
          <w:iCs/>
          <w:lang w:val="de-DE"/>
          <w14:ligatures w14:val="standardContextual"/>
        </w:rPr>
        <w:t>tháng năm 2025 ước đạt 13,6 tỷ USD, tăng 8,4% so với cùng kỳ năm trước. Đây là số vốn đầu tư trực tiếp nước ngoài thực hiện cao nhất của bảy tháng trong 5 năm qua. Trong đó: Công nghiệp chế biến, chế tạo đạt 11,1 tỷ USD, chiếm 81</w:t>
      </w:r>
      <w:r w:rsidRPr="00D6457E">
        <w:rPr>
          <w:iCs/>
          <w14:ligatures w14:val="standardContextual"/>
        </w:rPr>
        <w:t>,6</w:t>
      </w:r>
      <w:r w:rsidRPr="00D6457E">
        <w:rPr>
          <w:iCs/>
          <w:lang w:val="de-DE"/>
          <w14:ligatures w14:val="standardContextual"/>
        </w:rPr>
        <w:t>% tổng vốn đầu tư trực tiếp nước ngoài thực hiện; hoạt động kinh doanh bất động sản đạt 1</w:t>
      </w:r>
      <w:r w:rsidRPr="00D6457E">
        <w:rPr>
          <w:iCs/>
          <w14:ligatures w14:val="standardContextual"/>
        </w:rPr>
        <w:t>,09 tỷ</w:t>
      </w:r>
      <w:r w:rsidRPr="00D6457E">
        <w:rPr>
          <w:iCs/>
          <w:lang w:val="de-DE"/>
          <w14:ligatures w14:val="standardContextual"/>
        </w:rPr>
        <w:t xml:space="preserve"> USD, chiếm 8,0%; sản xuất, phân phối điện, khí đốt, nước nóng, hơi nước và điều hòa không khí đạt 505</w:t>
      </w:r>
      <w:r w:rsidRPr="00D6457E">
        <w:rPr>
          <w:iCs/>
          <w14:ligatures w14:val="standardContextual"/>
        </w:rPr>
        <w:t>,2</w:t>
      </w:r>
      <w:r w:rsidRPr="00D6457E">
        <w:rPr>
          <w:iCs/>
          <w:lang w:val="de-DE"/>
          <w14:ligatures w14:val="standardContextual"/>
        </w:rPr>
        <w:t xml:space="preserve"> triệu USD, chiếm 3,7%.</w:t>
      </w:r>
    </w:p>
    <w:p w14:paraId="6282B841" w14:textId="7F8EC06A" w:rsidR="00D6457E" w:rsidRPr="00D6457E" w:rsidRDefault="00D6457E" w:rsidP="00D6457E">
      <w:pPr>
        <w:jc w:val="center"/>
        <w:rPr>
          <w:rFonts w:ascii="Arial" w:hAnsi="Arial" w:cs="Arial"/>
          <w:b/>
          <w:bCs/>
          <w:sz w:val="24"/>
          <w:lang w:val="de-DE"/>
          <w14:ligatures w14:val="standardContextual"/>
        </w:rPr>
      </w:pPr>
      <w:r w:rsidRPr="00D6457E">
        <w:rPr>
          <w:rFonts w:ascii="Arial" w:hAnsi="Arial" w:cs="Arial"/>
          <w:b/>
          <w:bCs/>
          <w:sz w:val="24"/>
          <w:lang w:val="de-DE"/>
          <w14:ligatures w14:val="standardContextual"/>
        </w:rPr>
        <w:t xml:space="preserve">Hình </w:t>
      </w:r>
      <w:r>
        <w:rPr>
          <w:rFonts w:ascii="Arial" w:hAnsi="Arial" w:cs="Arial"/>
          <w:b/>
          <w:bCs/>
          <w:sz w:val="24"/>
          <w:lang w:val="de-DE"/>
          <w14:ligatures w14:val="standardContextual"/>
        </w:rPr>
        <w:t>8</w:t>
      </w:r>
      <w:r w:rsidRPr="00D6457E">
        <w:rPr>
          <w:rFonts w:ascii="Arial" w:hAnsi="Arial" w:cs="Arial"/>
          <w:b/>
          <w:bCs/>
          <w:sz w:val="24"/>
          <w:lang w:val="de-DE"/>
          <w14:ligatures w14:val="standardContextual"/>
        </w:rPr>
        <w:t>. Vốn đầu tư trực tiếp nước ngoài thực hiện</w:t>
      </w:r>
    </w:p>
    <w:p w14:paraId="21E1A165" w14:textId="38DF9034" w:rsidR="00D6457E" w:rsidRPr="00D6457E" w:rsidRDefault="00D6457E" w:rsidP="00D6457E">
      <w:pPr>
        <w:jc w:val="center"/>
        <w:rPr>
          <w:rFonts w:ascii="Arial" w:hAnsi="Arial" w:cs="Arial"/>
          <w:b/>
          <w:bCs/>
          <w:sz w:val="24"/>
          <w:lang w:val="de-DE"/>
          <w14:ligatures w14:val="standardContextual"/>
        </w:rPr>
      </w:pPr>
      <w:r w:rsidRPr="00D6457E">
        <w:rPr>
          <w:rFonts w:ascii="Arial" w:hAnsi="Arial" w:cs="Arial"/>
          <w:b/>
          <w:bCs/>
          <w:sz w:val="24"/>
          <w14:ligatures w14:val="standardContextual"/>
        </w:rPr>
        <w:t xml:space="preserve">7 tháng </w:t>
      </w:r>
      <w:r w:rsidRPr="00D6457E">
        <w:rPr>
          <w:rFonts w:ascii="Arial" w:hAnsi="Arial" w:cs="Arial"/>
          <w:b/>
          <w:bCs/>
          <w:sz w:val="24"/>
          <w:lang w:val="de-DE"/>
          <w14:ligatures w14:val="standardContextual"/>
        </w:rPr>
        <w:t>các năm 2021-2025 (Tỷ USD)</w:t>
      </w:r>
    </w:p>
    <w:p w14:paraId="67F95111" w14:textId="77777777" w:rsidR="00D6457E" w:rsidRPr="00D6457E" w:rsidRDefault="00D6457E" w:rsidP="00D6457E">
      <w:pPr>
        <w:jc w:val="center"/>
        <w:rPr>
          <w:rFonts w:ascii="Arial" w:hAnsi="Arial" w:cs="Arial"/>
          <w:b/>
          <w:bCs/>
          <w:sz w:val="24"/>
          <w:lang w:val="de-DE"/>
          <w14:ligatures w14:val="standardContextual"/>
        </w:rPr>
      </w:pPr>
      <w:r w:rsidRPr="008B5944">
        <w:rPr>
          <w:rFonts w:ascii="Calibri" w:hAnsi="Calibri" w:cs="Calibri"/>
          <w:noProof/>
          <w:sz w:val="22"/>
          <w:szCs w:val="22"/>
          <w14:ligatures w14:val="standardContextual"/>
        </w:rPr>
        <w:drawing>
          <wp:inline distT="0" distB="0" distL="0" distR="0" wp14:anchorId="164C1B5D" wp14:editId="0B13E796">
            <wp:extent cx="4572000" cy="1638795"/>
            <wp:effectExtent l="0" t="0" r="0" b="0"/>
            <wp:docPr id="116993500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9FF379" w14:textId="77777777" w:rsidR="00D6457E" w:rsidRPr="00D6457E" w:rsidRDefault="00D6457E" w:rsidP="008B5944">
      <w:pPr>
        <w:spacing w:after="120" w:line="254" w:lineRule="auto"/>
        <w:ind w:firstLine="720"/>
        <w:jc w:val="both"/>
        <w:rPr>
          <w:i/>
          <w:iCs/>
          <w:lang w:val="de-DE"/>
          <w14:ligatures w14:val="standardContextual"/>
        </w:rPr>
      </w:pPr>
      <w:r w:rsidRPr="00D6457E">
        <w:rPr>
          <w:i/>
          <w:iCs/>
          <w:lang w:val="de-DE"/>
          <w14:ligatures w14:val="standardContextual"/>
        </w:rPr>
        <w:t>Đầu tư của Việt Nam ra nước ngoài</w:t>
      </w:r>
      <w:r w:rsidRPr="00D6457E">
        <w:rPr>
          <w:iCs/>
          <w:lang w:val="de-DE"/>
          <w14:ligatures w14:val="standardContextual"/>
        </w:rPr>
        <w:t xml:space="preserve"> trong bảy  tháng năm 2025 có 105 dự án được cấp mới giấy chứng nhận đầu tư với tổng số vốn của phía Việt Nam là 398,9 triệu USD, gấp 3,2 lần so với cùng kỳ năm trước; có 20 lượt dự án điều chỉnh vốn với số vốn điều chỉnh tăng 129,6 triệu USD, gấp 4,5 lần.</w:t>
      </w:r>
    </w:p>
    <w:p w14:paraId="3F4C366F" w14:textId="77777777" w:rsidR="00D6457E" w:rsidRPr="00D6457E" w:rsidRDefault="00D6457E" w:rsidP="008B5944">
      <w:pPr>
        <w:spacing w:after="120" w:line="254" w:lineRule="auto"/>
        <w:ind w:firstLine="720"/>
        <w:jc w:val="both"/>
        <w:rPr>
          <w:iCs/>
          <w:spacing w:val="-4"/>
          <w:lang w:val="de-DE"/>
          <w14:ligatures w14:val="standardContextual"/>
        </w:rPr>
      </w:pPr>
      <w:r w:rsidRPr="00D6457E">
        <w:rPr>
          <w:iCs/>
          <w:spacing w:val="-4"/>
          <w:lang w:val="de-DE"/>
          <w14:ligatures w14:val="standardContextual"/>
        </w:rPr>
        <w:t>Tính chung bảy tháng năm 2025, tổng vốn đầu tư của Việt Nam ra nước ngoài (vốn cấp mới và điều chỉnh) đạt 528</w:t>
      </w:r>
      <w:r w:rsidRPr="00D6457E">
        <w:rPr>
          <w:iCs/>
          <w:spacing w:val="-4"/>
          <w14:ligatures w14:val="standardContextual"/>
        </w:rPr>
        <w:t xml:space="preserve">,5 </w:t>
      </w:r>
      <w:r w:rsidRPr="00D6457E">
        <w:rPr>
          <w:iCs/>
          <w:spacing w:val="-4"/>
          <w:lang w:val="de-DE"/>
          <w14:ligatures w14:val="standardContextual"/>
        </w:rPr>
        <w:t>triệu USD, gấp 3,5 lần so với cùng kỳ năm trước. Trong đó: Sản xuất, phân phối điện, khí đốt, nước nóng, hơi nước và điều hòa không khí đạt 111,2 triệu USD, chiếm 21,0% tổng vốn đầu tư; vận tải kho bãi đạt 109</w:t>
      </w:r>
      <w:r w:rsidRPr="00D6457E">
        <w:rPr>
          <w:iCs/>
          <w:spacing w:val="-4"/>
          <w14:ligatures w14:val="standardContextual"/>
        </w:rPr>
        <w:t>,1</w:t>
      </w:r>
      <w:r w:rsidRPr="00D6457E">
        <w:rPr>
          <w:iCs/>
          <w:spacing w:val="-4"/>
          <w:lang w:val="de-DE"/>
          <w14:ligatures w14:val="standardContextual"/>
        </w:rPr>
        <w:t xml:space="preserve"> triệu USD, chiếm 20,6%; bán buôn và bán lẻ, sửa chữa ô tô, mô tô, xe máy và xe có động cơ khác đạt 78,1 triệu USD, chiếm 14,8%.</w:t>
      </w:r>
    </w:p>
    <w:p w14:paraId="69D1131E" w14:textId="77777777" w:rsidR="00D6457E" w:rsidRPr="00D6457E" w:rsidRDefault="00D6457E" w:rsidP="008B5944">
      <w:pPr>
        <w:spacing w:after="120" w:line="254" w:lineRule="auto"/>
        <w:ind w:firstLine="720"/>
        <w:jc w:val="both"/>
        <w:rPr>
          <w14:ligatures w14:val="standardContextual"/>
        </w:rPr>
      </w:pPr>
      <w:r w:rsidRPr="00D6457E">
        <w:rPr>
          <w:iCs/>
          <w:spacing w:val="2"/>
          <w:lang w:val="de-DE"/>
          <w14:ligatures w14:val="standardContextual"/>
        </w:rPr>
        <w:t xml:space="preserve">Trong bảy tháng năm 2025, có 33 quốc gia và vùng lãnh thổ nhận đầu tư của Việt Nam, trong đó: </w:t>
      </w:r>
      <w:r w:rsidRPr="00D6457E">
        <w:rPr>
          <w:iCs/>
          <w:spacing w:val="2"/>
          <w14:ligatures w14:val="standardContextual"/>
        </w:rPr>
        <w:t>Lào</w:t>
      </w:r>
      <w:r w:rsidRPr="00D6457E">
        <w:rPr>
          <w:iCs/>
          <w:spacing w:val="2"/>
          <w:lang w:val="de-DE"/>
          <w14:ligatures w14:val="standardContextual"/>
        </w:rPr>
        <w:t xml:space="preserve"> là nước dẫn đầu với 150,3 triệu USD, chiếm 28,4% tổng vốn đầu tư; Phi-li-pin 61,8 triệu USD, chiếm 11,7%; In-đô-nê-xi-a 60,5 triệu USD, chiếm 11,4%; Đức đạt 50,6 triệu USD, chiếm 9,6%; Hoa Kỳ 31,2 triệu USD, chiếm 5,9%.</w:t>
      </w:r>
    </w:p>
    <w:p w14:paraId="4054193A" w14:textId="77777777" w:rsidR="000B60EE" w:rsidRPr="000B60EE" w:rsidRDefault="000B60EE" w:rsidP="000B60EE">
      <w:pPr>
        <w:spacing w:after="120"/>
        <w:ind w:firstLine="720"/>
        <w:jc w:val="both"/>
        <w:rPr>
          <w:b/>
          <w:bCs/>
          <w:lang w:val="de-DE"/>
        </w:rPr>
      </w:pPr>
      <w:r w:rsidRPr="000B60EE">
        <w:rPr>
          <w:b/>
          <w:bCs/>
          <w:lang w:val="af-ZA"/>
        </w:rPr>
        <w:lastRenderedPageBreak/>
        <w:t xml:space="preserve">5. </w:t>
      </w:r>
      <w:r w:rsidRPr="000B60EE">
        <w:rPr>
          <w:b/>
          <w:bCs/>
          <w:lang w:val="de-DE"/>
        </w:rPr>
        <w:t>Thu, chi ngân sách Nhà nước</w:t>
      </w:r>
      <w:r w:rsidRPr="000B60EE">
        <w:rPr>
          <w:b/>
          <w:bCs/>
          <w:vertAlign w:val="superscript"/>
          <w:lang w:val="en-GB"/>
        </w:rPr>
        <w:footnoteReference w:id="12"/>
      </w:r>
    </w:p>
    <w:p w14:paraId="7558A0F5" w14:textId="4A7B7356" w:rsidR="000B60EE" w:rsidRPr="000B60EE" w:rsidRDefault="000B60EE" w:rsidP="008B5944">
      <w:pPr>
        <w:spacing w:after="120" w:line="264" w:lineRule="auto"/>
        <w:ind w:firstLine="720"/>
        <w:jc w:val="both"/>
        <w:rPr>
          <w:b/>
          <w:lang w:val="de-DE"/>
        </w:rPr>
      </w:pPr>
      <w:r w:rsidRPr="000B60EE">
        <w:rPr>
          <w:i/>
          <w:lang w:val="de-DE"/>
        </w:rPr>
        <w:t>Thu ngân sách Nhà nước bảy tháng năm 2025 ước tăng 27,8% so với cùng kỳ năm trước</w:t>
      </w:r>
      <w:r w:rsidRPr="000B60EE">
        <w:rPr>
          <w:i/>
          <w:lang w:val="vi-VN"/>
        </w:rPr>
        <w:t>.</w:t>
      </w:r>
      <w:r w:rsidRPr="000B60EE">
        <w:rPr>
          <w:i/>
          <w:lang w:val="de-DE"/>
        </w:rPr>
        <w:t xml:space="preserve"> Chi ngân sách Nhà nước ước tăng 39,3% so với cùng kỳ năm 2024, đảm bảo các nhu cầu phát triển kinh tế - xã hội, quốc phòng, an ninh, quản lý Nhà nước, thanh toán các khoản nợ đến hạn cũng như chi trả kịp thời cho các đối tượng theo quy định.</w:t>
      </w:r>
      <w:r w:rsidRPr="000B60EE">
        <w:rPr>
          <w:b/>
          <w:lang w:val="de-DE"/>
        </w:rPr>
        <w:t xml:space="preserve"> </w:t>
      </w:r>
    </w:p>
    <w:p w14:paraId="6423BD81" w14:textId="77777777" w:rsidR="000B60EE" w:rsidRPr="000B60EE" w:rsidRDefault="000B60EE" w:rsidP="000B60EE">
      <w:pPr>
        <w:jc w:val="center"/>
        <w:rPr>
          <w:rFonts w:ascii="Arial" w:hAnsi="Arial" w:cs="Arial"/>
          <w:b/>
          <w:sz w:val="24"/>
          <w:szCs w:val="24"/>
          <w:lang w:val="vi-VN"/>
        </w:rPr>
      </w:pPr>
      <w:r w:rsidRPr="000B60EE">
        <w:rPr>
          <w:rFonts w:ascii="Arial" w:hAnsi="Arial" w:cs="Arial"/>
          <w:b/>
          <w:sz w:val="24"/>
          <w:szCs w:val="24"/>
          <w:lang w:val="de-DE"/>
        </w:rPr>
        <w:t>Hình 9. Thu, chi ngân sách Nhà nước 7 tháng năm 2025</w:t>
      </w:r>
    </w:p>
    <w:p w14:paraId="4A29EA49" w14:textId="77777777" w:rsidR="000B60EE" w:rsidRPr="000B60EE" w:rsidRDefault="000B60EE" w:rsidP="000B60EE">
      <w:pPr>
        <w:jc w:val="center"/>
        <w:rPr>
          <w:rFonts w:ascii="Arial" w:hAnsi="Arial" w:cs="Arial"/>
          <w:b/>
          <w:sz w:val="24"/>
          <w:szCs w:val="24"/>
          <w:lang w:val="vi-VN"/>
        </w:rPr>
      </w:pPr>
      <w:r w:rsidRPr="008B5944">
        <w:rPr>
          <w:rFonts w:ascii="Arial" w:hAnsi="Arial" w:cs="Arial"/>
          <w:b/>
          <w:noProof/>
          <w:sz w:val="24"/>
          <w:szCs w:val="24"/>
        </w:rPr>
        <w:drawing>
          <wp:inline distT="0" distB="0" distL="0" distR="0" wp14:anchorId="25C97F22" wp14:editId="526FBC62">
            <wp:extent cx="5763260" cy="2272786"/>
            <wp:effectExtent l="0" t="0" r="8890" b="0"/>
            <wp:docPr id="1" name="Picture 1" descr="A cartoon of a balance scal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alance scale with money and piggy ban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7074" cy="2274290"/>
                    </a:xfrm>
                    <a:prstGeom prst="rect">
                      <a:avLst/>
                    </a:prstGeom>
                  </pic:spPr>
                </pic:pic>
              </a:graphicData>
            </a:graphic>
          </wp:inline>
        </w:drawing>
      </w:r>
    </w:p>
    <w:p w14:paraId="450DC5FD" w14:textId="77777777" w:rsidR="000B60EE" w:rsidRPr="000B60EE" w:rsidRDefault="000B60EE" w:rsidP="008B5944">
      <w:pPr>
        <w:spacing w:after="120" w:line="276" w:lineRule="auto"/>
        <w:ind w:firstLine="720"/>
        <w:jc w:val="both"/>
        <w:rPr>
          <w:b/>
          <w:i/>
          <w:lang w:val="it-IT"/>
        </w:rPr>
      </w:pPr>
      <w:r w:rsidRPr="000B60EE">
        <w:rPr>
          <w:b/>
          <w:i/>
          <w:lang w:val="it-IT"/>
        </w:rPr>
        <w:t>Thu ngân sách Nhà nước</w:t>
      </w:r>
    </w:p>
    <w:p w14:paraId="3C716216" w14:textId="587EE588" w:rsidR="000B60EE" w:rsidRPr="000B60EE" w:rsidRDefault="000B60EE" w:rsidP="008B5944">
      <w:pPr>
        <w:spacing w:after="120" w:line="276" w:lineRule="auto"/>
        <w:ind w:firstLine="720"/>
        <w:jc w:val="both"/>
        <w:rPr>
          <w:lang w:val="it-IT"/>
        </w:rPr>
      </w:pPr>
      <w:r w:rsidRPr="000B60EE">
        <w:rPr>
          <w:lang w:val="it-IT"/>
        </w:rPr>
        <w:t xml:space="preserve">Tổng thu ngân sách Nhà nước tháng Bảy ước đạt </w:t>
      </w:r>
      <w:r w:rsidRPr="000B60EE">
        <w:t>242,1</w:t>
      </w:r>
      <w:r w:rsidRPr="000B60EE">
        <w:rPr>
          <w:lang w:val="vi-VN"/>
        </w:rPr>
        <w:t xml:space="preserve"> nghìn tỷ đồng</w:t>
      </w:r>
      <w:r w:rsidRPr="000B60EE">
        <w:rPr>
          <w:lang w:val="it-IT"/>
        </w:rPr>
        <w:t>. Lũy kế tổng thu ngân sách Nhà nước bảy tháng năm 2025 ước đạt 1.577,5 nghìn tỷ đồng, bằng 80,2% dự toán năm và tăng 27,8% so với cùng kỳ năm trước. Trong đó, một số khoản thu chính như sau:</w:t>
      </w:r>
    </w:p>
    <w:p w14:paraId="64CCC466" w14:textId="79057092" w:rsidR="000B60EE" w:rsidRPr="000B60EE" w:rsidRDefault="000B60EE" w:rsidP="008B5944">
      <w:pPr>
        <w:spacing w:after="120" w:line="276" w:lineRule="auto"/>
        <w:ind w:firstLine="720"/>
        <w:jc w:val="both"/>
        <w:rPr>
          <w:lang w:val="it-IT"/>
        </w:rPr>
      </w:pPr>
      <w:r w:rsidRPr="000B60EE">
        <w:rPr>
          <w:i/>
          <w:lang w:val="it-IT"/>
        </w:rPr>
        <w:t>- Thu nội địa</w:t>
      </w:r>
      <w:r w:rsidRPr="000B60EE">
        <w:rPr>
          <w:lang w:val="it-IT"/>
        </w:rPr>
        <w:t xml:space="preserve"> tháng Bảy ước đạt 204,6</w:t>
      </w:r>
      <w:r w:rsidR="00F41C4B">
        <w:rPr>
          <w:lang w:val="it-IT"/>
        </w:rPr>
        <w:t xml:space="preserve"> </w:t>
      </w:r>
      <w:r w:rsidRPr="000B60EE">
        <w:rPr>
          <w:lang w:val="it-IT"/>
        </w:rPr>
        <w:t>nghìn tỷ đồng; lũy kế bảy tháng năm 2025 ước đạt 1.365,3</w:t>
      </w:r>
      <w:r w:rsidR="00F41C4B">
        <w:rPr>
          <w:lang w:val="it-IT"/>
        </w:rPr>
        <w:t xml:space="preserve"> </w:t>
      </w:r>
      <w:r w:rsidRPr="000B60EE">
        <w:rPr>
          <w:lang w:val="it-IT"/>
        </w:rPr>
        <w:t>nghìn tỷ đồng, bằng 81,8% dự toán năm và tăng 31,8% so với cùng kỳ năm trước.</w:t>
      </w:r>
    </w:p>
    <w:p w14:paraId="1E97782A" w14:textId="78B09271" w:rsidR="000B60EE" w:rsidRPr="000B60EE" w:rsidRDefault="000B60EE" w:rsidP="008B5944">
      <w:pPr>
        <w:spacing w:after="120" w:line="276" w:lineRule="auto"/>
        <w:ind w:firstLine="720"/>
        <w:jc w:val="both"/>
        <w:rPr>
          <w:lang w:val="it-IT"/>
        </w:rPr>
      </w:pPr>
      <w:r w:rsidRPr="000B60EE">
        <w:rPr>
          <w:i/>
          <w:lang w:val="it-IT"/>
        </w:rPr>
        <w:t xml:space="preserve">- Thu từ dầu thô </w:t>
      </w:r>
      <w:r w:rsidRPr="000B60EE">
        <w:rPr>
          <w:lang w:val="it-IT"/>
        </w:rPr>
        <w:t>tháng Bảy ước đạt 4,0 nghìn tỷ đồng; lũy kế bảy tháng năm 2025 ước đạt 28,7 nghìn tỷ đồng, b</w:t>
      </w:r>
      <w:r w:rsidRPr="000B60EE">
        <w:rPr>
          <w:lang w:val="vi-VN"/>
        </w:rPr>
        <w:t xml:space="preserve">ằng </w:t>
      </w:r>
      <w:r w:rsidRPr="000B60EE">
        <w:rPr>
          <w:lang w:val="it-IT"/>
        </w:rPr>
        <w:t>53,9</w:t>
      </w:r>
      <w:r w:rsidRPr="000B60EE">
        <w:rPr>
          <w:lang w:val="vi-VN"/>
        </w:rPr>
        <w:t>%</w:t>
      </w:r>
      <w:r w:rsidRPr="000B60EE">
        <w:rPr>
          <w:lang w:val="it-IT"/>
        </w:rPr>
        <w:t xml:space="preserve"> dự toán năm và gi</w:t>
      </w:r>
      <w:r w:rsidRPr="000B60EE">
        <w:rPr>
          <w:lang w:val="vi-VN"/>
        </w:rPr>
        <w:t xml:space="preserve">ảm </w:t>
      </w:r>
      <w:r w:rsidRPr="000B60EE">
        <w:rPr>
          <w:lang w:val="it-IT"/>
        </w:rPr>
        <w:t xml:space="preserve">16,5% so với cùng kỳ năm trước. </w:t>
      </w:r>
    </w:p>
    <w:p w14:paraId="33E9A772" w14:textId="3CAAFC50" w:rsidR="000B60EE" w:rsidRPr="000B60EE" w:rsidRDefault="000B60EE" w:rsidP="008B5944">
      <w:pPr>
        <w:spacing w:after="120" w:line="276" w:lineRule="auto"/>
        <w:ind w:firstLine="720"/>
        <w:jc w:val="both"/>
        <w:rPr>
          <w:b/>
          <w:i/>
          <w:lang w:val="it-IT"/>
        </w:rPr>
      </w:pPr>
      <w:r w:rsidRPr="000B60EE">
        <w:rPr>
          <w:i/>
          <w:lang w:val="it-IT"/>
        </w:rPr>
        <w:t>- Thu cân đối ngân sách từ hoạt động xuất, nhập khẩu</w:t>
      </w:r>
      <w:r w:rsidRPr="000B60EE">
        <w:rPr>
          <w:lang w:val="it-IT"/>
        </w:rPr>
        <w:t xml:space="preserve"> tháng Bảy ước đạt 33,3 nghìn tỷ đồng; lũy kế bảy tháng năm 2025 ước đạt 182,7 nghìn tỷ đồng, bằng 77,7% dự toán năm và tăng 11,6% so với cùng kỳ năm trước. </w:t>
      </w:r>
    </w:p>
    <w:p w14:paraId="31A05C52" w14:textId="1C58F0A2" w:rsidR="00C67D4D" w:rsidRPr="00306C05" w:rsidRDefault="00C67D4D" w:rsidP="008B5944">
      <w:pPr>
        <w:spacing w:after="120" w:line="276" w:lineRule="auto"/>
        <w:ind w:firstLine="720"/>
        <w:jc w:val="both"/>
        <w:rPr>
          <w:b/>
          <w:i/>
          <w:lang w:val="it-IT"/>
        </w:rPr>
      </w:pPr>
      <w:r w:rsidRPr="00306C05">
        <w:rPr>
          <w:b/>
          <w:i/>
          <w:lang w:val="it-IT"/>
        </w:rPr>
        <w:t>Chi ngân sách Nhà nước</w:t>
      </w:r>
    </w:p>
    <w:p w14:paraId="70028BF4" w14:textId="05A5FABD" w:rsidR="00C67D4D" w:rsidRPr="00306C05" w:rsidRDefault="00C67D4D" w:rsidP="008B5944">
      <w:pPr>
        <w:spacing w:after="120" w:line="276" w:lineRule="auto"/>
        <w:ind w:firstLine="720"/>
        <w:jc w:val="both"/>
        <w:rPr>
          <w:lang w:val="vi-VN"/>
        </w:rPr>
      </w:pPr>
      <w:r w:rsidRPr="00306C05">
        <w:rPr>
          <w:spacing w:val="2"/>
          <w:lang w:val="it-IT"/>
        </w:rPr>
        <w:t xml:space="preserve">Tổng chi ngân sách Nhà nước tháng </w:t>
      </w:r>
      <w:r w:rsidR="00714FAE" w:rsidRPr="00306C05">
        <w:rPr>
          <w:spacing w:val="2"/>
          <w:lang w:val="it-IT"/>
        </w:rPr>
        <w:t>Bảy</w:t>
      </w:r>
      <w:r w:rsidRPr="00306C05">
        <w:rPr>
          <w:spacing w:val="2"/>
          <w:lang w:val="it-IT"/>
        </w:rPr>
        <w:t xml:space="preserve"> ước đạt 164,9 nghìn tỷ đồng. Lũy kế tổng chi ngân sách Nhà nước bảy tháng năm 2025 ước đạt 1.317,4 nghìn tỷ đồng, bằng 51,7% dự toán năm và tăng 39,3% so với cùng kỳ năm trước</w:t>
      </w:r>
      <w:r w:rsidR="00B361A4" w:rsidRPr="00306C05">
        <w:rPr>
          <w:spacing w:val="2"/>
          <w:lang w:val="it-IT"/>
        </w:rPr>
        <w:t xml:space="preserve">, đáp </w:t>
      </w:r>
      <w:r w:rsidR="00B361A4" w:rsidRPr="00306C05">
        <w:rPr>
          <w:spacing w:val="2"/>
          <w:lang w:val="it-IT"/>
        </w:rPr>
        <w:lastRenderedPageBreak/>
        <w:t>ứng yêu cầu phát triển kinh tế - xã hội, quốc phòng, an ninh, quản lý nhà nước và thanh toán các khoản chi trả nợ đến hạn, chăm lo cho các đối tượng hưởng lương, lương hưu, trợ cấp xã hội, các đối tượng khi sắp xếp tổ chức bộ máy theo các Nghị định số 178/2024/NĐ-CP và Nghị định số 67/2025/NĐ-CP của Chính phủ</w:t>
      </w:r>
      <w:r w:rsidR="00B361A4" w:rsidRPr="00556DFD">
        <w:rPr>
          <w:spacing w:val="2"/>
          <w:lang w:val="vi-VN"/>
        </w:rPr>
        <w:t>.</w:t>
      </w:r>
      <w:r w:rsidRPr="000A74BB">
        <w:rPr>
          <w:spacing w:val="2"/>
          <w:lang w:val="vi-VN"/>
        </w:rPr>
        <w:t xml:space="preserve"> T</w:t>
      </w:r>
      <w:r w:rsidRPr="00306C05">
        <w:rPr>
          <w:spacing w:val="2"/>
          <w:lang w:val="vi-VN"/>
        </w:rPr>
        <w:t>rong đó</w:t>
      </w:r>
      <w:r w:rsidRPr="000A74BB">
        <w:rPr>
          <w:spacing w:val="2"/>
          <w:lang w:val="vi-VN"/>
        </w:rPr>
        <w:t>, c</w:t>
      </w:r>
      <w:r w:rsidRPr="00306C05">
        <w:rPr>
          <w:spacing w:val="2"/>
          <w:lang w:val="vi-VN"/>
        </w:rPr>
        <w:t>hi thường xuyên bảy tháng năm 2025 ước đạt 863,0 nghìn tỷ đồng, bằng 55,0% dự toán năm và tăng 32,3% so với cùng kỳ năm trước; chi đầu tư phát triển đạt 388,</w:t>
      </w:r>
      <w:r w:rsidR="00C25A07">
        <w:rPr>
          <w:spacing w:val="2"/>
        </w:rPr>
        <w:t>3</w:t>
      </w:r>
      <w:r w:rsidR="00C25A07" w:rsidRPr="00306C05">
        <w:rPr>
          <w:spacing w:val="2"/>
          <w:lang w:val="vi-VN"/>
        </w:rPr>
        <w:t xml:space="preserve"> </w:t>
      </w:r>
      <w:r w:rsidRPr="00306C05">
        <w:rPr>
          <w:spacing w:val="2"/>
          <w:lang w:val="vi-VN"/>
        </w:rPr>
        <w:t>nghìn tỷ đồng, bằng 49,1% và tăng 69,7%; chi trả nợ lãi 63,6 nghìn tỷ đồng, bằng 57,5% và tăng 0,1%.</w:t>
      </w:r>
    </w:p>
    <w:p w14:paraId="268524E2" w14:textId="60629425" w:rsidR="00E11C99" w:rsidRPr="000A74BB" w:rsidRDefault="00E11C99" w:rsidP="008B5944">
      <w:pPr>
        <w:spacing w:after="120" w:line="276" w:lineRule="auto"/>
        <w:ind w:firstLine="720"/>
        <w:jc w:val="both"/>
        <w:rPr>
          <w:b/>
          <w:bCs/>
          <w:lang w:val="vi-VN"/>
        </w:rPr>
      </w:pPr>
      <w:r w:rsidRPr="000A74BB">
        <w:rPr>
          <w:b/>
          <w:bCs/>
          <w:lang w:val="vi-VN"/>
        </w:rPr>
        <w:t>6. Thương mại, giá cả, vận tải và du lịch</w:t>
      </w:r>
    </w:p>
    <w:p w14:paraId="01152DF5" w14:textId="77777777" w:rsidR="00EF01E6" w:rsidRPr="000A74BB" w:rsidRDefault="00EF01E6" w:rsidP="008B5944">
      <w:pPr>
        <w:spacing w:after="120" w:line="276" w:lineRule="auto"/>
        <w:ind w:firstLine="720"/>
        <w:rPr>
          <w:b/>
          <w:i/>
          <w:lang w:val="vi-VN"/>
        </w:rPr>
      </w:pPr>
      <w:r w:rsidRPr="000A74BB">
        <w:rPr>
          <w:b/>
          <w:i/>
          <w:lang w:val="vi-VN"/>
        </w:rPr>
        <w:t>a) Bán lẻ hàng hóa và doanh thu dịch vụ tiêu dùng</w:t>
      </w:r>
    </w:p>
    <w:p w14:paraId="2490B7B8" w14:textId="77777777" w:rsidR="00EF01E6" w:rsidRPr="000A74BB" w:rsidRDefault="00EF01E6" w:rsidP="008B5944">
      <w:pPr>
        <w:spacing w:after="120" w:line="276" w:lineRule="auto"/>
        <w:ind w:firstLine="720"/>
        <w:jc w:val="both"/>
        <w:rPr>
          <w:i/>
          <w:lang w:val="vi-VN"/>
        </w:rPr>
      </w:pPr>
      <w:r w:rsidRPr="000A74BB">
        <w:rPr>
          <w:i/>
          <w:lang w:val="vi-VN"/>
        </w:rPr>
        <w:t xml:space="preserve">Hoạt động thương mại, du lịch duy trì tăng trưởng tích cực với tổng mức bán lẻ hàng hóa và doanh thu dịch vụ tiêu dùng tháng </w:t>
      </w:r>
      <w:r w:rsidRPr="00306C05">
        <w:rPr>
          <w:i/>
          <w:lang w:val="vi-VN"/>
        </w:rPr>
        <w:t>Bảy</w:t>
      </w:r>
      <w:r w:rsidRPr="000A74BB">
        <w:rPr>
          <w:i/>
          <w:lang w:val="vi-VN"/>
        </w:rPr>
        <w:t xml:space="preserve"> ước tăng 9,2% so với cùng kỳ năm trước. Tính chung bảy tháng năm 2025, tổng mức bán lẻ hàng hóa và doanh thu dịch vụ tiêu dùng tăng 9,3% so với cùng kỳ năm trước, trong đó: Doanh thu dịch vụ lưu trú, ăn uống tăng 15,0% và doanh thu du lịch lữ hành tăng 20,0%. </w:t>
      </w:r>
    </w:p>
    <w:p w14:paraId="5EE4CBA9" w14:textId="77777777" w:rsidR="00EF01E6" w:rsidRPr="000A74BB" w:rsidRDefault="00EF01E6" w:rsidP="008B5944">
      <w:pPr>
        <w:spacing w:after="120" w:line="276" w:lineRule="auto"/>
        <w:ind w:firstLine="720"/>
        <w:jc w:val="both"/>
        <w:rPr>
          <w:iCs/>
          <w:lang w:val="vi-VN"/>
        </w:rPr>
      </w:pPr>
      <w:r w:rsidRPr="000A74BB">
        <w:rPr>
          <w:iCs/>
          <w:lang w:val="vi-VN"/>
        </w:rPr>
        <w:t xml:space="preserve">Tổng mức bán lẻ hàng hóa và doanh thu dịch vụ tiêu dùng theo giá hiện hành tháng </w:t>
      </w:r>
      <w:r w:rsidRPr="00306C05">
        <w:rPr>
          <w:iCs/>
          <w:lang w:val="vi-VN"/>
        </w:rPr>
        <w:t>Bảy</w:t>
      </w:r>
      <w:r w:rsidRPr="000A74BB">
        <w:rPr>
          <w:iCs/>
          <w:lang w:val="vi-VN"/>
        </w:rPr>
        <w:t xml:space="preserve"> ước đạt 576,4 nghìn tỷ đồng, tăng 1,1% so với tháng trước và tăng 9,2% so với cùng kỳ năm trước. Trong đó, doanh thu nhóm hàng lương thực, thực phẩm tăng 9,9% so với cùng kỳ năm trước; hàng may mặc tăng 7,9%; đồ dùng, dụng cụ, trang thiết bị gia đình tăng 7,1%; dịch vụ lưu trú, ăn uống tăng 16,3% và du lịch lữ hành tăng 12,6%. </w:t>
      </w:r>
    </w:p>
    <w:p w14:paraId="0A65F21E" w14:textId="77777777" w:rsidR="00EF01E6" w:rsidRPr="000A74BB" w:rsidRDefault="00EF01E6" w:rsidP="00EF01E6">
      <w:pPr>
        <w:spacing w:after="120" w:line="256" w:lineRule="auto"/>
        <w:jc w:val="center"/>
        <w:rPr>
          <w:rFonts w:ascii="Arial" w:hAnsi="Arial" w:cs="Arial"/>
          <w:b/>
          <w:bCs/>
          <w:spacing w:val="-6"/>
          <w:sz w:val="24"/>
          <w:szCs w:val="26"/>
          <w:lang w:val="vi-VN"/>
        </w:rPr>
      </w:pPr>
      <w:r w:rsidRPr="000A74BB">
        <w:rPr>
          <w:rFonts w:ascii="Arial" w:hAnsi="Arial" w:cs="Arial"/>
          <w:b/>
          <w:spacing w:val="-2"/>
          <w:sz w:val="24"/>
          <w:szCs w:val="26"/>
          <w:lang w:val="vi-VN"/>
        </w:rPr>
        <w:t xml:space="preserve">Biểu 3. </w:t>
      </w:r>
      <w:r w:rsidRPr="000A74BB">
        <w:rPr>
          <w:rFonts w:ascii="Arial" w:hAnsi="Arial" w:cs="Arial"/>
          <w:b/>
          <w:bCs/>
          <w:spacing w:val="-6"/>
          <w:sz w:val="24"/>
          <w:szCs w:val="26"/>
          <w:lang w:val="vi-VN"/>
        </w:rPr>
        <w:t>Tổng mức bán lẻ hàng hóa và doanh thu dịch vụ tiêu dùng</w:t>
      </w:r>
      <w:r w:rsidRPr="000A74BB">
        <w:rPr>
          <w:rFonts w:ascii="Arial" w:hAnsi="Arial" w:cs="Arial"/>
          <w:b/>
          <w:bCs/>
          <w:spacing w:val="-6"/>
          <w:sz w:val="24"/>
          <w:szCs w:val="26"/>
          <w:lang w:val="vi-VN"/>
        </w:rPr>
        <w:br/>
        <w:t>theo giá hiện hành</w:t>
      </w:r>
    </w:p>
    <w:p w14:paraId="04063148" w14:textId="77777777" w:rsidR="00EF01E6" w:rsidRPr="000A74BB" w:rsidRDefault="00EF01E6" w:rsidP="00EF01E6">
      <w:pPr>
        <w:tabs>
          <w:tab w:val="left" w:pos="2835"/>
        </w:tabs>
        <w:ind w:firstLine="561"/>
        <w:jc w:val="right"/>
        <w:rPr>
          <w:rFonts w:ascii="Arial" w:hAnsi="Arial" w:cs="Arial"/>
          <w:b/>
          <w:i/>
          <w:spacing w:val="-6"/>
          <w:sz w:val="20"/>
          <w:szCs w:val="20"/>
        </w:rPr>
      </w:pPr>
      <w:r w:rsidRPr="000A74BB">
        <w:rPr>
          <w:rFonts w:ascii="Arial" w:hAnsi="Arial" w:cs="Arial"/>
          <w:b/>
          <w:i/>
          <w:spacing w:val="-6"/>
          <w:sz w:val="20"/>
          <w:szCs w:val="20"/>
        </w:rPr>
        <w:t>Nghìn tỷ đồng</w:t>
      </w:r>
    </w:p>
    <w:tbl>
      <w:tblPr>
        <w:tblW w:w="9067" w:type="dxa"/>
        <w:jc w:val="center"/>
        <w:tblLayout w:type="fixed"/>
        <w:tblLook w:val="04A0" w:firstRow="1" w:lastRow="0" w:firstColumn="1" w:lastColumn="0" w:noHBand="0" w:noVBand="1"/>
      </w:tblPr>
      <w:tblGrid>
        <w:gridCol w:w="3024"/>
        <w:gridCol w:w="1438"/>
        <w:gridCol w:w="1593"/>
        <w:gridCol w:w="1691"/>
        <w:gridCol w:w="1321"/>
      </w:tblGrid>
      <w:tr w:rsidR="00EF01E6" w:rsidRPr="00306C05" w14:paraId="020FCEAC" w14:textId="77777777" w:rsidTr="008B5944">
        <w:trPr>
          <w:cantSplit/>
          <w:trHeight w:val="613"/>
          <w:jc w:val="center"/>
        </w:trPr>
        <w:tc>
          <w:tcPr>
            <w:tcW w:w="3024" w:type="dxa"/>
            <w:vMerge w:val="restart"/>
            <w:tcBorders>
              <w:top w:val="single" w:sz="4" w:space="0" w:color="auto"/>
              <w:left w:val="nil"/>
              <w:bottom w:val="single" w:sz="4" w:space="0" w:color="auto"/>
              <w:right w:val="nil"/>
            </w:tcBorders>
            <w:vAlign w:val="center"/>
            <w:hideMark/>
          </w:tcPr>
          <w:p w14:paraId="7C9D5C76" w14:textId="77777777" w:rsidR="00EF01E6" w:rsidRPr="000A74BB" w:rsidRDefault="00EF01E6" w:rsidP="008B5944">
            <w:pPr>
              <w:jc w:val="both"/>
              <w:rPr>
                <w:rFonts w:ascii="Arial" w:hAnsi="Arial" w:cs="Arial"/>
                <w:sz w:val="20"/>
                <w:szCs w:val="20"/>
              </w:rPr>
            </w:pPr>
            <w:r w:rsidRPr="000A74BB">
              <w:rPr>
                <w:rFonts w:ascii="Arial" w:hAnsi="Arial" w:cs="Arial"/>
                <w:bCs/>
                <w:sz w:val="20"/>
                <w:szCs w:val="20"/>
              </w:rPr>
              <w:t> </w:t>
            </w:r>
          </w:p>
        </w:tc>
        <w:tc>
          <w:tcPr>
            <w:tcW w:w="1438" w:type="dxa"/>
            <w:vMerge w:val="restart"/>
            <w:tcBorders>
              <w:top w:val="single" w:sz="4" w:space="0" w:color="auto"/>
              <w:left w:val="nil"/>
              <w:bottom w:val="single" w:sz="4" w:space="0" w:color="auto"/>
              <w:right w:val="nil"/>
            </w:tcBorders>
            <w:vAlign w:val="center"/>
            <w:hideMark/>
          </w:tcPr>
          <w:p w14:paraId="3BF11BBF" w14:textId="77777777" w:rsidR="00EF01E6" w:rsidRPr="000A74BB" w:rsidRDefault="00EF01E6" w:rsidP="008B5944">
            <w:pPr>
              <w:jc w:val="center"/>
              <w:rPr>
                <w:rFonts w:ascii="Arial" w:hAnsi="Arial" w:cs="Arial"/>
                <w:sz w:val="20"/>
                <w:szCs w:val="20"/>
              </w:rPr>
            </w:pPr>
            <w:r w:rsidRPr="000A74BB">
              <w:rPr>
                <w:rFonts w:ascii="Arial" w:hAnsi="Arial" w:cs="Arial"/>
                <w:sz w:val="20"/>
                <w:szCs w:val="20"/>
              </w:rPr>
              <w:t>Ước tính</w:t>
            </w:r>
          </w:p>
          <w:p w14:paraId="2BC2320C" w14:textId="77777777" w:rsidR="00EF01E6" w:rsidRPr="000A74BB" w:rsidRDefault="00EF01E6" w:rsidP="008B5944">
            <w:pPr>
              <w:jc w:val="center"/>
              <w:rPr>
                <w:rFonts w:ascii="Arial" w:hAnsi="Arial" w:cs="Arial"/>
                <w:sz w:val="20"/>
                <w:szCs w:val="20"/>
              </w:rPr>
            </w:pPr>
            <w:r w:rsidRPr="000A74BB">
              <w:rPr>
                <w:rFonts w:ascii="Arial" w:hAnsi="Arial" w:cs="Arial"/>
                <w:sz w:val="20"/>
                <w:szCs w:val="20"/>
              </w:rPr>
              <w:t>tháng 7</w:t>
            </w:r>
          </w:p>
          <w:p w14:paraId="5406D106" w14:textId="77777777" w:rsidR="00EF01E6" w:rsidRPr="000A74BB" w:rsidRDefault="00EF01E6" w:rsidP="008B5944">
            <w:pPr>
              <w:jc w:val="center"/>
              <w:rPr>
                <w:rFonts w:ascii="Arial" w:hAnsi="Arial" w:cs="Arial"/>
                <w:sz w:val="20"/>
                <w:szCs w:val="20"/>
              </w:rPr>
            </w:pPr>
            <w:r w:rsidRPr="000A74BB">
              <w:rPr>
                <w:rFonts w:ascii="Arial" w:hAnsi="Arial" w:cs="Arial"/>
                <w:sz w:val="20"/>
                <w:szCs w:val="20"/>
              </w:rPr>
              <w:t>năm 2025</w:t>
            </w:r>
          </w:p>
        </w:tc>
        <w:tc>
          <w:tcPr>
            <w:tcW w:w="1593" w:type="dxa"/>
            <w:vMerge w:val="restart"/>
            <w:tcBorders>
              <w:top w:val="single" w:sz="4" w:space="0" w:color="auto"/>
              <w:left w:val="nil"/>
              <w:bottom w:val="single" w:sz="4" w:space="0" w:color="auto"/>
              <w:right w:val="nil"/>
            </w:tcBorders>
            <w:vAlign w:val="center"/>
            <w:hideMark/>
          </w:tcPr>
          <w:p w14:paraId="248DA4C7" w14:textId="77777777" w:rsidR="00EF01E6" w:rsidRPr="000A74BB" w:rsidRDefault="00EF01E6" w:rsidP="008B5944">
            <w:pPr>
              <w:jc w:val="center"/>
              <w:rPr>
                <w:rFonts w:ascii="Arial" w:hAnsi="Arial" w:cs="Arial"/>
                <w:sz w:val="20"/>
                <w:szCs w:val="20"/>
                <w:lang w:val="pt-BR"/>
              </w:rPr>
            </w:pPr>
            <w:r w:rsidRPr="000A74BB">
              <w:rPr>
                <w:rFonts w:ascii="Arial" w:hAnsi="Arial" w:cs="Arial"/>
                <w:sz w:val="20"/>
                <w:szCs w:val="20"/>
                <w:lang w:val="pt-BR"/>
              </w:rPr>
              <w:t>Ước tính</w:t>
            </w:r>
          </w:p>
          <w:p w14:paraId="68F738B6" w14:textId="77777777" w:rsidR="00EF01E6" w:rsidRPr="000A74BB" w:rsidRDefault="00EF01E6" w:rsidP="008B5944">
            <w:pPr>
              <w:jc w:val="center"/>
              <w:rPr>
                <w:rFonts w:ascii="Arial" w:hAnsi="Arial" w:cs="Arial"/>
                <w:sz w:val="20"/>
                <w:szCs w:val="20"/>
                <w:lang w:val="pt-BR"/>
              </w:rPr>
            </w:pPr>
            <w:r w:rsidRPr="000A74BB">
              <w:rPr>
                <w:rFonts w:ascii="Arial" w:hAnsi="Arial" w:cs="Arial"/>
                <w:sz w:val="20"/>
                <w:szCs w:val="20"/>
                <w:lang w:val="pt-BR"/>
              </w:rPr>
              <w:t>7 tháng</w:t>
            </w:r>
          </w:p>
          <w:p w14:paraId="6F4796D3" w14:textId="77777777" w:rsidR="00EF01E6" w:rsidRPr="000A74BB" w:rsidRDefault="00EF01E6" w:rsidP="008B5944">
            <w:pPr>
              <w:jc w:val="center"/>
              <w:rPr>
                <w:rFonts w:ascii="Arial" w:hAnsi="Arial" w:cs="Arial"/>
                <w:sz w:val="20"/>
                <w:szCs w:val="20"/>
                <w:lang w:val="pt-BR"/>
              </w:rPr>
            </w:pPr>
            <w:r w:rsidRPr="000A74BB">
              <w:rPr>
                <w:rFonts w:ascii="Arial" w:hAnsi="Arial" w:cs="Arial"/>
                <w:sz w:val="20"/>
                <w:szCs w:val="20"/>
                <w:lang w:val="pt-BR"/>
              </w:rPr>
              <w:t>năm 2025</w:t>
            </w:r>
          </w:p>
        </w:tc>
        <w:tc>
          <w:tcPr>
            <w:tcW w:w="3012" w:type="dxa"/>
            <w:gridSpan w:val="2"/>
            <w:tcBorders>
              <w:top w:val="single" w:sz="4" w:space="0" w:color="auto"/>
              <w:left w:val="nil"/>
              <w:bottom w:val="single" w:sz="4" w:space="0" w:color="auto"/>
              <w:right w:val="nil"/>
            </w:tcBorders>
            <w:vAlign w:val="center"/>
            <w:hideMark/>
          </w:tcPr>
          <w:p w14:paraId="28720E65" w14:textId="77777777" w:rsidR="00EF01E6" w:rsidRPr="000A74BB" w:rsidRDefault="00EF01E6" w:rsidP="008B5944">
            <w:pPr>
              <w:jc w:val="center"/>
              <w:rPr>
                <w:rFonts w:ascii="Arial" w:hAnsi="Arial" w:cs="Arial"/>
                <w:sz w:val="20"/>
                <w:szCs w:val="20"/>
                <w:lang w:val="pt-BR"/>
              </w:rPr>
            </w:pPr>
            <w:r w:rsidRPr="000A74BB">
              <w:rPr>
                <w:rFonts w:ascii="Arial" w:hAnsi="Arial" w:cs="Arial"/>
                <w:sz w:val="20"/>
                <w:szCs w:val="20"/>
                <w:lang w:val="pt-BR"/>
              </w:rPr>
              <w:t>Tốc độ tăng so với</w:t>
            </w:r>
          </w:p>
          <w:p w14:paraId="3A9F0857" w14:textId="77777777" w:rsidR="00EF01E6" w:rsidRPr="000A74BB" w:rsidRDefault="00EF01E6" w:rsidP="008B5944">
            <w:pPr>
              <w:jc w:val="center"/>
              <w:rPr>
                <w:rFonts w:ascii="Arial" w:hAnsi="Arial" w:cs="Arial"/>
                <w:sz w:val="20"/>
                <w:szCs w:val="20"/>
                <w:lang w:val="pt-BR"/>
              </w:rPr>
            </w:pPr>
            <w:r w:rsidRPr="000A74BB">
              <w:rPr>
                <w:rFonts w:ascii="Arial" w:hAnsi="Arial" w:cs="Arial"/>
                <w:sz w:val="20"/>
                <w:szCs w:val="20"/>
                <w:lang w:val="pt-BR"/>
              </w:rPr>
              <w:t>cùng kỳ năm trước (%)</w:t>
            </w:r>
          </w:p>
        </w:tc>
      </w:tr>
      <w:tr w:rsidR="00EF01E6" w:rsidRPr="000A74BB" w14:paraId="0080C82C" w14:textId="77777777" w:rsidTr="008B5944">
        <w:trPr>
          <w:cantSplit/>
          <w:trHeight w:val="513"/>
          <w:jc w:val="center"/>
        </w:trPr>
        <w:tc>
          <w:tcPr>
            <w:tcW w:w="3024" w:type="dxa"/>
            <w:vMerge/>
            <w:tcBorders>
              <w:top w:val="single" w:sz="4" w:space="0" w:color="auto"/>
              <w:left w:val="nil"/>
              <w:bottom w:val="single" w:sz="4" w:space="0" w:color="auto"/>
              <w:right w:val="nil"/>
            </w:tcBorders>
            <w:vAlign w:val="center"/>
            <w:hideMark/>
          </w:tcPr>
          <w:p w14:paraId="33784087" w14:textId="77777777" w:rsidR="00EF01E6" w:rsidRPr="00306C05" w:rsidRDefault="00EF01E6" w:rsidP="008B5944">
            <w:pPr>
              <w:rPr>
                <w:rFonts w:ascii="Arial" w:hAnsi="Arial" w:cs="Arial"/>
                <w:sz w:val="20"/>
                <w:szCs w:val="20"/>
                <w:lang w:val="pt-BR"/>
              </w:rPr>
            </w:pPr>
          </w:p>
        </w:tc>
        <w:tc>
          <w:tcPr>
            <w:tcW w:w="1438" w:type="dxa"/>
            <w:vMerge/>
            <w:tcBorders>
              <w:top w:val="single" w:sz="4" w:space="0" w:color="auto"/>
              <w:left w:val="nil"/>
              <w:bottom w:val="single" w:sz="4" w:space="0" w:color="auto"/>
              <w:right w:val="nil"/>
            </w:tcBorders>
            <w:vAlign w:val="center"/>
            <w:hideMark/>
          </w:tcPr>
          <w:p w14:paraId="27503CAF" w14:textId="77777777" w:rsidR="00EF01E6" w:rsidRPr="00306C05" w:rsidRDefault="00EF01E6" w:rsidP="008B5944">
            <w:pPr>
              <w:rPr>
                <w:rFonts w:ascii="Arial" w:hAnsi="Arial" w:cs="Arial"/>
                <w:sz w:val="20"/>
                <w:szCs w:val="20"/>
                <w:lang w:val="pt-BR"/>
              </w:rPr>
            </w:pPr>
          </w:p>
        </w:tc>
        <w:tc>
          <w:tcPr>
            <w:tcW w:w="1593" w:type="dxa"/>
            <w:vMerge/>
            <w:tcBorders>
              <w:top w:val="single" w:sz="4" w:space="0" w:color="auto"/>
              <w:left w:val="nil"/>
              <w:bottom w:val="single" w:sz="4" w:space="0" w:color="auto"/>
              <w:right w:val="nil"/>
            </w:tcBorders>
            <w:vAlign w:val="center"/>
            <w:hideMark/>
          </w:tcPr>
          <w:p w14:paraId="4C34D48C" w14:textId="77777777" w:rsidR="00EF01E6" w:rsidRPr="000A74BB" w:rsidRDefault="00EF01E6" w:rsidP="008B5944">
            <w:pPr>
              <w:rPr>
                <w:rFonts w:ascii="Arial" w:hAnsi="Arial" w:cs="Arial"/>
                <w:sz w:val="20"/>
                <w:szCs w:val="20"/>
                <w:lang w:val="pt-BR"/>
              </w:rPr>
            </w:pPr>
          </w:p>
        </w:tc>
        <w:tc>
          <w:tcPr>
            <w:tcW w:w="1691" w:type="dxa"/>
            <w:tcBorders>
              <w:top w:val="single" w:sz="4" w:space="0" w:color="auto"/>
              <w:left w:val="nil"/>
              <w:bottom w:val="single" w:sz="4" w:space="0" w:color="auto"/>
              <w:right w:val="nil"/>
            </w:tcBorders>
            <w:vAlign w:val="center"/>
            <w:hideMark/>
          </w:tcPr>
          <w:p w14:paraId="21CAE9EF" w14:textId="77777777" w:rsidR="00EF01E6" w:rsidRPr="000A74BB" w:rsidRDefault="00EF01E6" w:rsidP="008B5944">
            <w:pPr>
              <w:jc w:val="center"/>
              <w:rPr>
                <w:rFonts w:ascii="Arial" w:hAnsi="Arial" w:cs="Arial"/>
                <w:sz w:val="20"/>
                <w:szCs w:val="20"/>
              </w:rPr>
            </w:pPr>
            <w:r w:rsidRPr="000A74BB">
              <w:rPr>
                <w:rFonts w:ascii="Arial" w:hAnsi="Arial" w:cs="Arial"/>
                <w:sz w:val="20"/>
                <w:szCs w:val="20"/>
              </w:rPr>
              <w:t>Tháng 7</w:t>
            </w:r>
          </w:p>
          <w:p w14:paraId="007D3EF5" w14:textId="77777777" w:rsidR="00EF01E6" w:rsidRPr="000A74BB" w:rsidRDefault="00EF01E6" w:rsidP="008B5944">
            <w:pPr>
              <w:jc w:val="center"/>
              <w:rPr>
                <w:rFonts w:ascii="Arial" w:hAnsi="Arial" w:cs="Arial"/>
                <w:sz w:val="20"/>
                <w:szCs w:val="20"/>
              </w:rPr>
            </w:pPr>
            <w:r w:rsidRPr="000A74BB">
              <w:rPr>
                <w:rFonts w:ascii="Arial" w:hAnsi="Arial" w:cs="Arial"/>
                <w:sz w:val="20"/>
                <w:szCs w:val="20"/>
              </w:rPr>
              <w:t>năm 2025</w:t>
            </w:r>
          </w:p>
        </w:tc>
        <w:tc>
          <w:tcPr>
            <w:tcW w:w="1321" w:type="dxa"/>
            <w:tcBorders>
              <w:top w:val="single" w:sz="4" w:space="0" w:color="auto"/>
              <w:left w:val="nil"/>
              <w:bottom w:val="single" w:sz="4" w:space="0" w:color="auto"/>
              <w:right w:val="nil"/>
            </w:tcBorders>
            <w:vAlign w:val="center"/>
            <w:hideMark/>
          </w:tcPr>
          <w:p w14:paraId="5FE4FB45" w14:textId="77777777" w:rsidR="00EF01E6" w:rsidRPr="000A74BB" w:rsidRDefault="00EF01E6" w:rsidP="008B5944">
            <w:pPr>
              <w:jc w:val="center"/>
              <w:rPr>
                <w:rFonts w:ascii="Arial" w:hAnsi="Arial" w:cs="Arial"/>
                <w:sz w:val="20"/>
                <w:szCs w:val="20"/>
              </w:rPr>
            </w:pPr>
            <w:r w:rsidRPr="000A74BB">
              <w:rPr>
                <w:rFonts w:ascii="Arial" w:hAnsi="Arial" w:cs="Arial"/>
                <w:sz w:val="20"/>
                <w:szCs w:val="20"/>
              </w:rPr>
              <w:t>7 tháng</w:t>
            </w:r>
          </w:p>
          <w:p w14:paraId="6E885DBB" w14:textId="77777777" w:rsidR="00EF01E6" w:rsidRPr="000A74BB" w:rsidRDefault="00EF01E6" w:rsidP="008B5944">
            <w:pPr>
              <w:jc w:val="center"/>
              <w:rPr>
                <w:rFonts w:ascii="Arial" w:hAnsi="Arial" w:cs="Arial"/>
                <w:sz w:val="20"/>
                <w:szCs w:val="20"/>
              </w:rPr>
            </w:pPr>
            <w:r w:rsidRPr="000A74BB">
              <w:rPr>
                <w:rFonts w:ascii="Arial" w:hAnsi="Arial" w:cs="Arial"/>
                <w:sz w:val="20"/>
                <w:szCs w:val="20"/>
              </w:rPr>
              <w:t>năm 2025</w:t>
            </w:r>
          </w:p>
        </w:tc>
      </w:tr>
      <w:tr w:rsidR="00EF01E6" w:rsidRPr="000A74BB" w14:paraId="114E43EC" w14:textId="77777777" w:rsidTr="008B5944">
        <w:trPr>
          <w:cantSplit/>
          <w:trHeight w:val="313"/>
          <w:jc w:val="center"/>
        </w:trPr>
        <w:tc>
          <w:tcPr>
            <w:tcW w:w="3024" w:type="dxa"/>
            <w:tcBorders>
              <w:top w:val="single" w:sz="4" w:space="0" w:color="auto"/>
              <w:left w:val="nil"/>
              <w:bottom w:val="nil"/>
              <w:right w:val="nil"/>
            </w:tcBorders>
            <w:vAlign w:val="center"/>
            <w:hideMark/>
          </w:tcPr>
          <w:p w14:paraId="678BEF90" w14:textId="77777777" w:rsidR="00EF01E6" w:rsidRPr="000A74BB" w:rsidRDefault="00EF01E6" w:rsidP="008B5944">
            <w:pPr>
              <w:rPr>
                <w:rFonts w:ascii="Arial" w:hAnsi="Arial" w:cs="Arial"/>
                <w:b/>
                <w:bCs/>
                <w:sz w:val="20"/>
                <w:szCs w:val="20"/>
              </w:rPr>
            </w:pPr>
            <w:r w:rsidRPr="000A74BB">
              <w:rPr>
                <w:rFonts w:ascii="Arial" w:hAnsi="Arial" w:cs="Arial"/>
                <w:b/>
                <w:bCs/>
                <w:sz w:val="20"/>
                <w:szCs w:val="20"/>
              </w:rPr>
              <w:t>Tổng số</w:t>
            </w:r>
          </w:p>
        </w:tc>
        <w:tc>
          <w:tcPr>
            <w:tcW w:w="1438" w:type="dxa"/>
            <w:tcBorders>
              <w:top w:val="single" w:sz="4" w:space="0" w:color="auto"/>
              <w:left w:val="nil"/>
              <w:bottom w:val="nil"/>
              <w:right w:val="nil"/>
            </w:tcBorders>
            <w:vAlign w:val="center"/>
            <w:hideMark/>
          </w:tcPr>
          <w:p w14:paraId="7E724E43" w14:textId="77777777" w:rsidR="00EF01E6" w:rsidRPr="000A74BB" w:rsidRDefault="00EF01E6" w:rsidP="008B5944">
            <w:pPr>
              <w:ind w:right="281"/>
              <w:jc w:val="right"/>
              <w:rPr>
                <w:rFonts w:ascii="Arial" w:hAnsi="Arial" w:cs="Arial"/>
                <w:b/>
                <w:bCs/>
                <w:sz w:val="20"/>
                <w:szCs w:val="20"/>
              </w:rPr>
            </w:pPr>
            <w:r w:rsidRPr="000A74BB">
              <w:rPr>
                <w:rFonts w:ascii="Arial" w:hAnsi="Arial" w:cs="Arial"/>
                <w:b/>
                <w:bCs/>
                <w:sz w:val="20"/>
                <w:szCs w:val="20"/>
              </w:rPr>
              <w:t>576,4</w:t>
            </w:r>
          </w:p>
        </w:tc>
        <w:tc>
          <w:tcPr>
            <w:tcW w:w="1593" w:type="dxa"/>
            <w:tcBorders>
              <w:top w:val="single" w:sz="4" w:space="0" w:color="auto"/>
              <w:left w:val="nil"/>
              <w:bottom w:val="nil"/>
              <w:right w:val="nil"/>
            </w:tcBorders>
            <w:vAlign w:val="center"/>
            <w:hideMark/>
          </w:tcPr>
          <w:p w14:paraId="02315BAD" w14:textId="77777777" w:rsidR="00EF01E6" w:rsidRPr="000A74BB" w:rsidRDefault="00EF01E6" w:rsidP="008B5944">
            <w:pPr>
              <w:ind w:right="330"/>
              <w:jc w:val="right"/>
              <w:rPr>
                <w:rFonts w:ascii="Arial" w:hAnsi="Arial" w:cs="Arial"/>
                <w:b/>
                <w:bCs/>
                <w:sz w:val="20"/>
                <w:szCs w:val="20"/>
              </w:rPr>
            </w:pPr>
            <w:r w:rsidRPr="000A74BB">
              <w:rPr>
                <w:rFonts w:ascii="Arial" w:hAnsi="Arial" w:cs="Arial"/>
                <w:b/>
                <w:bCs/>
                <w:sz w:val="20"/>
                <w:szCs w:val="20"/>
              </w:rPr>
              <w:t>3.993,4</w:t>
            </w:r>
          </w:p>
        </w:tc>
        <w:tc>
          <w:tcPr>
            <w:tcW w:w="1691" w:type="dxa"/>
            <w:tcBorders>
              <w:top w:val="single" w:sz="4" w:space="0" w:color="auto"/>
              <w:left w:val="nil"/>
              <w:bottom w:val="nil"/>
              <w:right w:val="nil"/>
            </w:tcBorders>
            <w:vAlign w:val="center"/>
            <w:hideMark/>
          </w:tcPr>
          <w:p w14:paraId="3A96AEBA" w14:textId="77777777" w:rsidR="00EF01E6" w:rsidRPr="000A74BB" w:rsidRDefault="00EF01E6" w:rsidP="008B5944">
            <w:pPr>
              <w:ind w:right="486"/>
              <w:jc w:val="right"/>
              <w:rPr>
                <w:rFonts w:ascii="Arial" w:hAnsi="Arial" w:cs="Arial"/>
                <w:b/>
                <w:bCs/>
                <w:sz w:val="20"/>
                <w:szCs w:val="20"/>
              </w:rPr>
            </w:pPr>
            <w:r w:rsidRPr="000A74BB">
              <w:rPr>
                <w:rFonts w:ascii="Arial" w:hAnsi="Arial" w:cs="Arial"/>
                <w:b/>
                <w:bCs/>
                <w:sz w:val="20"/>
                <w:szCs w:val="20"/>
              </w:rPr>
              <w:t>9,2</w:t>
            </w:r>
          </w:p>
        </w:tc>
        <w:tc>
          <w:tcPr>
            <w:tcW w:w="1321" w:type="dxa"/>
            <w:tcBorders>
              <w:top w:val="single" w:sz="4" w:space="0" w:color="auto"/>
              <w:left w:val="nil"/>
              <w:bottom w:val="nil"/>
              <w:right w:val="nil"/>
            </w:tcBorders>
            <w:vAlign w:val="center"/>
            <w:hideMark/>
          </w:tcPr>
          <w:p w14:paraId="41B9D5DD" w14:textId="77777777" w:rsidR="00EF01E6" w:rsidRPr="000A74BB" w:rsidRDefault="00EF01E6" w:rsidP="008B5944">
            <w:pPr>
              <w:ind w:right="410"/>
              <w:jc w:val="right"/>
              <w:rPr>
                <w:rFonts w:ascii="Arial" w:hAnsi="Arial" w:cs="Arial"/>
                <w:b/>
                <w:bCs/>
                <w:sz w:val="20"/>
                <w:szCs w:val="20"/>
              </w:rPr>
            </w:pPr>
            <w:r w:rsidRPr="000A74BB">
              <w:rPr>
                <w:rFonts w:ascii="Arial" w:hAnsi="Arial" w:cs="Arial"/>
                <w:b/>
                <w:bCs/>
                <w:sz w:val="20"/>
                <w:szCs w:val="20"/>
              </w:rPr>
              <w:t>9,3</w:t>
            </w:r>
          </w:p>
        </w:tc>
      </w:tr>
      <w:tr w:rsidR="00EF01E6" w:rsidRPr="000A74BB" w14:paraId="01044D19" w14:textId="77777777" w:rsidTr="008B5944">
        <w:trPr>
          <w:cantSplit/>
          <w:trHeight w:val="326"/>
          <w:jc w:val="center"/>
        </w:trPr>
        <w:tc>
          <w:tcPr>
            <w:tcW w:w="3024" w:type="dxa"/>
            <w:vAlign w:val="center"/>
            <w:hideMark/>
          </w:tcPr>
          <w:p w14:paraId="029076E6" w14:textId="77777777" w:rsidR="00EF01E6" w:rsidRPr="000A74BB" w:rsidRDefault="00EF01E6" w:rsidP="008B5944">
            <w:pPr>
              <w:ind w:firstLine="317"/>
              <w:rPr>
                <w:rFonts w:ascii="Arial" w:hAnsi="Arial" w:cs="Arial"/>
                <w:sz w:val="20"/>
                <w:szCs w:val="20"/>
              </w:rPr>
            </w:pPr>
            <w:r w:rsidRPr="000A74BB">
              <w:rPr>
                <w:rFonts w:ascii="Arial" w:hAnsi="Arial" w:cs="Arial"/>
                <w:bCs/>
                <w:sz w:val="20"/>
                <w:szCs w:val="20"/>
              </w:rPr>
              <w:t>Bán lẻ hàng hóa</w:t>
            </w:r>
          </w:p>
        </w:tc>
        <w:tc>
          <w:tcPr>
            <w:tcW w:w="1438" w:type="dxa"/>
            <w:vAlign w:val="center"/>
            <w:hideMark/>
          </w:tcPr>
          <w:p w14:paraId="7B2E17F0" w14:textId="77777777" w:rsidR="00EF01E6" w:rsidRPr="000A74BB" w:rsidRDefault="00EF01E6" w:rsidP="008B5944">
            <w:pPr>
              <w:ind w:right="281"/>
              <w:jc w:val="right"/>
              <w:rPr>
                <w:rFonts w:ascii="Arial" w:hAnsi="Arial" w:cs="Arial"/>
                <w:bCs/>
                <w:sz w:val="20"/>
                <w:szCs w:val="20"/>
              </w:rPr>
            </w:pPr>
            <w:r w:rsidRPr="000A74BB">
              <w:rPr>
                <w:rFonts w:ascii="Arial" w:hAnsi="Arial" w:cs="Arial"/>
                <w:sz w:val="20"/>
                <w:szCs w:val="20"/>
              </w:rPr>
              <w:t>436,4</w:t>
            </w:r>
          </w:p>
        </w:tc>
        <w:tc>
          <w:tcPr>
            <w:tcW w:w="1593" w:type="dxa"/>
            <w:vAlign w:val="center"/>
            <w:hideMark/>
          </w:tcPr>
          <w:p w14:paraId="32594FD9" w14:textId="77777777" w:rsidR="00EF01E6" w:rsidRPr="000A74BB" w:rsidRDefault="00EF01E6" w:rsidP="008B5944">
            <w:pPr>
              <w:ind w:right="330"/>
              <w:jc w:val="right"/>
              <w:rPr>
                <w:rFonts w:ascii="Arial" w:hAnsi="Arial" w:cs="Arial"/>
                <w:bCs/>
                <w:sz w:val="20"/>
                <w:szCs w:val="20"/>
              </w:rPr>
            </w:pPr>
            <w:r w:rsidRPr="000A74BB">
              <w:rPr>
                <w:rFonts w:ascii="Arial" w:hAnsi="Arial" w:cs="Arial"/>
                <w:sz w:val="20"/>
                <w:szCs w:val="20"/>
              </w:rPr>
              <w:t>3.049,6</w:t>
            </w:r>
          </w:p>
        </w:tc>
        <w:tc>
          <w:tcPr>
            <w:tcW w:w="1691" w:type="dxa"/>
            <w:vAlign w:val="center"/>
            <w:hideMark/>
          </w:tcPr>
          <w:p w14:paraId="2758F367" w14:textId="77777777" w:rsidR="00EF01E6" w:rsidRPr="000A74BB" w:rsidRDefault="00EF01E6" w:rsidP="008B5944">
            <w:pPr>
              <w:ind w:right="486"/>
              <w:jc w:val="right"/>
              <w:rPr>
                <w:rFonts w:ascii="Arial" w:hAnsi="Arial" w:cs="Arial"/>
                <w:bCs/>
                <w:sz w:val="20"/>
                <w:szCs w:val="20"/>
              </w:rPr>
            </w:pPr>
            <w:r w:rsidRPr="000A74BB">
              <w:rPr>
                <w:rFonts w:ascii="Arial" w:hAnsi="Arial" w:cs="Arial"/>
                <w:sz w:val="20"/>
                <w:szCs w:val="20"/>
              </w:rPr>
              <w:t>7,7</w:t>
            </w:r>
          </w:p>
        </w:tc>
        <w:tc>
          <w:tcPr>
            <w:tcW w:w="1321" w:type="dxa"/>
            <w:vAlign w:val="center"/>
            <w:hideMark/>
          </w:tcPr>
          <w:p w14:paraId="1A7E7968" w14:textId="77777777" w:rsidR="00EF01E6" w:rsidRPr="000A74BB" w:rsidRDefault="00EF01E6" w:rsidP="008B5944">
            <w:pPr>
              <w:ind w:right="410"/>
              <w:jc w:val="right"/>
              <w:rPr>
                <w:rFonts w:ascii="Arial" w:hAnsi="Arial" w:cs="Arial"/>
                <w:bCs/>
                <w:sz w:val="20"/>
                <w:szCs w:val="20"/>
              </w:rPr>
            </w:pPr>
            <w:r w:rsidRPr="000A74BB">
              <w:rPr>
                <w:rFonts w:ascii="Arial" w:hAnsi="Arial" w:cs="Arial"/>
                <w:sz w:val="20"/>
                <w:szCs w:val="20"/>
              </w:rPr>
              <w:t>7,8</w:t>
            </w:r>
          </w:p>
        </w:tc>
      </w:tr>
      <w:tr w:rsidR="00EF01E6" w:rsidRPr="000A74BB" w14:paraId="5D483D74" w14:textId="77777777" w:rsidTr="008B5944">
        <w:trPr>
          <w:cantSplit/>
          <w:trHeight w:val="326"/>
          <w:jc w:val="center"/>
        </w:trPr>
        <w:tc>
          <w:tcPr>
            <w:tcW w:w="3024" w:type="dxa"/>
            <w:vAlign w:val="center"/>
            <w:hideMark/>
          </w:tcPr>
          <w:p w14:paraId="1D0E620B" w14:textId="77777777" w:rsidR="00EF01E6" w:rsidRPr="000A74BB" w:rsidRDefault="00EF01E6" w:rsidP="008B5944">
            <w:pPr>
              <w:ind w:firstLine="317"/>
              <w:rPr>
                <w:rFonts w:ascii="Arial" w:hAnsi="Arial" w:cs="Arial"/>
                <w:sz w:val="20"/>
                <w:szCs w:val="20"/>
              </w:rPr>
            </w:pPr>
            <w:r w:rsidRPr="000A74BB">
              <w:rPr>
                <w:rFonts w:ascii="Arial" w:hAnsi="Arial" w:cs="Arial"/>
                <w:bCs/>
                <w:sz w:val="20"/>
                <w:szCs w:val="20"/>
              </w:rPr>
              <w:t>Dịch vụ lưu trú, ăn uống</w:t>
            </w:r>
          </w:p>
        </w:tc>
        <w:tc>
          <w:tcPr>
            <w:tcW w:w="1438" w:type="dxa"/>
            <w:vAlign w:val="center"/>
            <w:hideMark/>
          </w:tcPr>
          <w:p w14:paraId="4BD40F0C" w14:textId="77777777" w:rsidR="00EF01E6" w:rsidRPr="000A74BB" w:rsidRDefault="00EF01E6" w:rsidP="008B5944">
            <w:pPr>
              <w:ind w:right="281"/>
              <w:jc w:val="right"/>
              <w:rPr>
                <w:rFonts w:ascii="Arial" w:hAnsi="Arial" w:cs="Arial"/>
                <w:bCs/>
                <w:sz w:val="20"/>
                <w:szCs w:val="20"/>
              </w:rPr>
            </w:pPr>
            <w:r w:rsidRPr="000A74BB">
              <w:rPr>
                <w:rFonts w:ascii="Arial" w:hAnsi="Arial" w:cs="Arial"/>
                <w:sz w:val="20"/>
                <w:szCs w:val="20"/>
              </w:rPr>
              <w:t>72,2</w:t>
            </w:r>
          </w:p>
        </w:tc>
        <w:tc>
          <w:tcPr>
            <w:tcW w:w="1593" w:type="dxa"/>
            <w:vAlign w:val="center"/>
            <w:hideMark/>
          </w:tcPr>
          <w:p w14:paraId="2152168A" w14:textId="77777777" w:rsidR="00EF01E6" w:rsidRPr="000A74BB" w:rsidRDefault="00EF01E6" w:rsidP="008B5944">
            <w:pPr>
              <w:ind w:right="330"/>
              <w:jc w:val="right"/>
              <w:rPr>
                <w:rFonts w:ascii="Arial" w:hAnsi="Arial" w:cs="Arial"/>
                <w:bCs/>
                <w:sz w:val="20"/>
                <w:szCs w:val="20"/>
              </w:rPr>
            </w:pPr>
            <w:r w:rsidRPr="000A74BB">
              <w:rPr>
                <w:rFonts w:ascii="Arial" w:hAnsi="Arial" w:cs="Arial"/>
                <w:sz w:val="20"/>
                <w:szCs w:val="20"/>
              </w:rPr>
              <w:t>481,9</w:t>
            </w:r>
          </w:p>
        </w:tc>
        <w:tc>
          <w:tcPr>
            <w:tcW w:w="1691" w:type="dxa"/>
            <w:vAlign w:val="center"/>
            <w:hideMark/>
          </w:tcPr>
          <w:p w14:paraId="65377FC0" w14:textId="77777777" w:rsidR="00EF01E6" w:rsidRPr="000A74BB" w:rsidRDefault="00EF01E6" w:rsidP="008B5944">
            <w:pPr>
              <w:ind w:right="486"/>
              <w:jc w:val="right"/>
              <w:rPr>
                <w:rFonts w:ascii="Arial" w:hAnsi="Arial" w:cs="Arial"/>
                <w:bCs/>
                <w:sz w:val="20"/>
                <w:szCs w:val="20"/>
              </w:rPr>
            </w:pPr>
            <w:r w:rsidRPr="000A74BB">
              <w:rPr>
                <w:rFonts w:ascii="Arial" w:hAnsi="Arial" w:cs="Arial"/>
                <w:sz w:val="20"/>
                <w:szCs w:val="20"/>
              </w:rPr>
              <w:t>16,3</w:t>
            </w:r>
          </w:p>
        </w:tc>
        <w:tc>
          <w:tcPr>
            <w:tcW w:w="1321" w:type="dxa"/>
            <w:vAlign w:val="center"/>
            <w:hideMark/>
          </w:tcPr>
          <w:p w14:paraId="1D2CDDDE" w14:textId="77777777" w:rsidR="00EF01E6" w:rsidRPr="000A74BB" w:rsidRDefault="00EF01E6" w:rsidP="008B5944">
            <w:pPr>
              <w:ind w:right="410"/>
              <w:jc w:val="right"/>
              <w:rPr>
                <w:rFonts w:ascii="Arial" w:hAnsi="Arial" w:cs="Arial"/>
                <w:bCs/>
                <w:sz w:val="20"/>
                <w:szCs w:val="20"/>
              </w:rPr>
            </w:pPr>
            <w:r w:rsidRPr="000A74BB">
              <w:rPr>
                <w:rFonts w:ascii="Arial" w:hAnsi="Arial" w:cs="Arial"/>
                <w:sz w:val="20"/>
                <w:szCs w:val="20"/>
              </w:rPr>
              <w:t>15,0</w:t>
            </w:r>
          </w:p>
        </w:tc>
      </w:tr>
      <w:tr w:rsidR="00EF01E6" w:rsidRPr="000A74BB" w14:paraId="43729CCD" w14:textId="77777777" w:rsidTr="008B5944">
        <w:trPr>
          <w:cantSplit/>
          <w:trHeight w:val="326"/>
          <w:jc w:val="center"/>
        </w:trPr>
        <w:tc>
          <w:tcPr>
            <w:tcW w:w="3024" w:type="dxa"/>
            <w:vAlign w:val="center"/>
            <w:hideMark/>
          </w:tcPr>
          <w:p w14:paraId="376A60A2" w14:textId="77777777" w:rsidR="00EF01E6" w:rsidRPr="000A74BB" w:rsidRDefault="00EF01E6" w:rsidP="008B5944">
            <w:pPr>
              <w:ind w:firstLine="317"/>
              <w:rPr>
                <w:rFonts w:ascii="Arial" w:hAnsi="Arial" w:cs="Arial"/>
                <w:sz w:val="20"/>
                <w:szCs w:val="20"/>
              </w:rPr>
            </w:pPr>
            <w:r w:rsidRPr="000A74BB">
              <w:rPr>
                <w:rFonts w:ascii="Arial" w:hAnsi="Arial" w:cs="Arial"/>
                <w:bCs/>
                <w:sz w:val="20"/>
                <w:szCs w:val="20"/>
              </w:rPr>
              <w:t>Du lịch lữ hành</w:t>
            </w:r>
          </w:p>
        </w:tc>
        <w:tc>
          <w:tcPr>
            <w:tcW w:w="1438" w:type="dxa"/>
            <w:vAlign w:val="center"/>
            <w:hideMark/>
          </w:tcPr>
          <w:p w14:paraId="070A0A5C" w14:textId="77777777" w:rsidR="00EF01E6" w:rsidRPr="000A74BB" w:rsidRDefault="00EF01E6" w:rsidP="008B5944">
            <w:pPr>
              <w:ind w:right="281"/>
              <w:jc w:val="right"/>
              <w:rPr>
                <w:rFonts w:ascii="Arial" w:hAnsi="Arial" w:cs="Arial"/>
                <w:bCs/>
                <w:sz w:val="20"/>
                <w:szCs w:val="20"/>
              </w:rPr>
            </w:pPr>
            <w:r w:rsidRPr="000A74BB">
              <w:rPr>
                <w:rFonts w:ascii="Arial" w:hAnsi="Arial" w:cs="Arial"/>
                <w:sz w:val="20"/>
                <w:szCs w:val="20"/>
              </w:rPr>
              <w:t>7,5</w:t>
            </w:r>
          </w:p>
        </w:tc>
        <w:tc>
          <w:tcPr>
            <w:tcW w:w="1593" w:type="dxa"/>
            <w:vAlign w:val="center"/>
            <w:hideMark/>
          </w:tcPr>
          <w:p w14:paraId="273C274B" w14:textId="77777777" w:rsidR="00EF01E6" w:rsidRPr="000A74BB" w:rsidRDefault="00EF01E6" w:rsidP="008B5944">
            <w:pPr>
              <w:ind w:right="330"/>
              <w:jc w:val="right"/>
              <w:rPr>
                <w:rFonts w:ascii="Arial" w:hAnsi="Arial" w:cs="Arial"/>
                <w:bCs/>
                <w:sz w:val="20"/>
                <w:szCs w:val="20"/>
              </w:rPr>
            </w:pPr>
            <w:r w:rsidRPr="000A74BB">
              <w:rPr>
                <w:rFonts w:ascii="Arial" w:hAnsi="Arial" w:cs="Arial"/>
                <w:sz w:val="20"/>
                <w:szCs w:val="20"/>
              </w:rPr>
              <w:t>52,8</w:t>
            </w:r>
          </w:p>
        </w:tc>
        <w:tc>
          <w:tcPr>
            <w:tcW w:w="1691" w:type="dxa"/>
            <w:vAlign w:val="center"/>
            <w:hideMark/>
          </w:tcPr>
          <w:p w14:paraId="49BC20BE" w14:textId="77777777" w:rsidR="00EF01E6" w:rsidRPr="000A74BB" w:rsidRDefault="00EF01E6" w:rsidP="008B5944">
            <w:pPr>
              <w:ind w:right="486"/>
              <w:jc w:val="right"/>
              <w:rPr>
                <w:rFonts w:ascii="Arial" w:hAnsi="Arial" w:cs="Arial"/>
                <w:bCs/>
                <w:sz w:val="20"/>
                <w:szCs w:val="20"/>
              </w:rPr>
            </w:pPr>
            <w:r w:rsidRPr="000A74BB">
              <w:rPr>
                <w:rFonts w:ascii="Arial" w:hAnsi="Arial" w:cs="Arial"/>
                <w:sz w:val="20"/>
                <w:szCs w:val="20"/>
              </w:rPr>
              <w:t>12,6</w:t>
            </w:r>
          </w:p>
        </w:tc>
        <w:tc>
          <w:tcPr>
            <w:tcW w:w="1321" w:type="dxa"/>
            <w:vAlign w:val="center"/>
            <w:hideMark/>
          </w:tcPr>
          <w:p w14:paraId="5140F137" w14:textId="77777777" w:rsidR="00EF01E6" w:rsidRPr="000A74BB" w:rsidRDefault="00EF01E6" w:rsidP="008B5944">
            <w:pPr>
              <w:ind w:right="410"/>
              <w:jc w:val="right"/>
              <w:rPr>
                <w:rFonts w:ascii="Arial" w:hAnsi="Arial" w:cs="Arial"/>
                <w:bCs/>
                <w:sz w:val="20"/>
                <w:szCs w:val="20"/>
              </w:rPr>
            </w:pPr>
            <w:r w:rsidRPr="000A74BB">
              <w:rPr>
                <w:rFonts w:ascii="Arial" w:hAnsi="Arial" w:cs="Arial"/>
                <w:sz w:val="20"/>
                <w:szCs w:val="20"/>
              </w:rPr>
              <w:t>20,0</w:t>
            </w:r>
          </w:p>
        </w:tc>
      </w:tr>
      <w:tr w:rsidR="00EF01E6" w:rsidRPr="000A74BB" w14:paraId="6F5D7039" w14:textId="77777777" w:rsidTr="008B5944">
        <w:trPr>
          <w:cantSplit/>
          <w:trHeight w:val="326"/>
          <w:jc w:val="center"/>
        </w:trPr>
        <w:tc>
          <w:tcPr>
            <w:tcW w:w="3024" w:type="dxa"/>
            <w:tcBorders>
              <w:top w:val="nil"/>
              <w:left w:val="nil"/>
              <w:bottom w:val="single" w:sz="4" w:space="0" w:color="auto"/>
              <w:right w:val="nil"/>
            </w:tcBorders>
            <w:vAlign w:val="center"/>
            <w:hideMark/>
          </w:tcPr>
          <w:p w14:paraId="1EF64BCD" w14:textId="77777777" w:rsidR="00EF01E6" w:rsidRPr="000A74BB" w:rsidRDefault="00EF01E6" w:rsidP="008B5944">
            <w:pPr>
              <w:ind w:firstLine="317"/>
              <w:rPr>
                <w:rFonts w:ascii="Arial" w:hAnsi="Arial" w:cs="Arial"/>
                <w:sz w:val="20"/>
                <w:szCs w:val="20"/>
              </w:rPr>
            </w:pPr>
            <w:r w:rsidRPr="000A74BB">
              <w:rPr>
                <w:rFonts w:ascii="Arial" w:hAnsi="Arial" w:cs="Arial"/>
                <w:bCs/>
                <w:sz w:val="20"/>
                <w:szCs w:val="20"/>
              </w:rPr>
              <w:t>Dịch vụ khác</w:t>
            </w:r>
          </w:p>
        </w:tc>
        <w:tc>
          <w:tcPr>
            <w:tcW w:w="1438" w:type="dxa"/>
            <w:tcBorders>
              <w:top w:val="nil"/>
              <w:left w:val="nil"/>
              <w:bottom w:val="single" w:sz="4" w:space="0" w:color="auto"/>
              <w:right w:val="nil"/>
            </w:tcBorders>
            <w:vAlign w:val="center"/>
            <w:hideMark/>
          </w:tcPr>
          <w:p w14:paraId="69C6BD74" w14:textId="77777777" w:rsidR="00EF01E6" w:rsidRPr="000A74BB" w:rsidRDefault="00EF01E6" w:rsidP="008B5944">
            <w:pPr>
              <w:ind w:right="281"/>
              <w:jc w:val="right"/>
              <w:rPr>
                <w:rFonts w:ascii="Arial" w:hAnsi="Arial" w:cs="Arial"/>
                <w:bCs/>
                <w:sz w:val="20"/>
                <w:szCs w:val="20"/>
              </w:rPr>
            </w:pPr>
            <w:r w:rsidRPr="000A74BB">
              <w:rPr>
                <w:rFonts w:ascii="Arial" w:hAnsi="Arial" w:cs="Arial"/>
                <w:sz w:val="20"/>
                <w:szCs w:val="20"/>
              </w:rPr>
              <w:t>60,3</w:t>
            </w:r>
          </w:p>
        </w:tc>
        <w:tc>
          <w:tcPr>
            <w:tcW w:w="1593" w:type="dxa"/>
            <w:tcBorders>
              <w:top w:val="nil"/>
              <w:left w:val="nil"/>
              <w:bottom w:val="single" w:sz="4" w:space="0" w:color="auto"/>
              <w:right w:val="nil"/>
            </w:tcBorders>
            <w:vAlign w:val="center"/>
            <w:hideMark/>
          </w:tcPr>
          <w:p w14:paraId="085EFE02" w14:textId="77777777" w:rsidR="00EF01E6" w:rsidRPr="000A74BB" w:rsidRDefault="00EF01E6" w:rsidP="008B5944">
            <w:pPr>
              <w:ind w:right="330"/>
              <w:jc w:val="right"/>
              <w:rPr>
                <w:rFonts w:ascii="Arial" w:hAnsi="Arial" w:cs="Arial"/>
                <w:bCs/>
                <w:sz w:val="20"/>
                <w:szCs w:val="20"/>
              </w:rPr>
            </w:pPr>
            <w:r w:rsidRPr="000A74BB">
              <w:rPr>
                <w:rFonts w:ascii="Arial" w:hAnsi="Arial" w:cs="Arial"/>
                <w:sz w:val="20"/>
                <w:szCs w:val="20"/>
              </w:rPr>
              <w:t>409,1</w:t>
            </w:r>
          </w:p>
        </w:tc>
        <w:tc>
          <w:tcPr>
            <w:tcW w:w="1691" w:type="dxa"/>
            <w:tcBorders>
              <w:top w:val="nil"/>
              <w:left w:val="nil"/>
              <w:bottom w:val="single" w:sz="4" w:space="0" w:color="auto"/>
              <w:right w:val="nil"/>
            </w:tcBorders>
            <w:vAlign w:val="center"/>
            <w:hideMark/>
          </w:tcPr>
          <w:p w14:paraId="3F4357A9" w14:textId="77777777" w:rsidR="00EF01E6" w:rsidRPr="000A74BB" w:rsidRDefault="00EF01E6" w:rsidP="008B5944">
            <w:pPr>
              <w:ind w:right="486"/>
              <w:jc w:val="right"/>
              <w:rPr>
                <w:rFonts w:ascii="Arial" w:hAnsi="Arial" w:cs="Arial"/>
                <w:bCs/>
                <w:sz w:val="20"/>
                <w:szCs w:val="20"/>
              </w:rPr>
            </w:pPr>
            <w:r w:rsidRPr="000A74BB">
              <w:rPr>
                <w:rFonts w:ascii="Arial" w:hAnsi="Arial" w:cs="Arial"/>
                <w:sz w:val="20"/>
                <w:szCs w:val="20"/>
              </w:rPr>
              <w:t>11,4</w:t>
            </w:r>
          </w:p>
        </w:tc>
        <w:tc>
          <w:tcPr>
            <w:tcW w:w="1321" w:type="dxa"/>
            <w:tcBorders>
              <w:top w:val="nil"/>
              <w:left w:val="nil"/>
              <w:bottom w:val="single" w:sz="4" w:space="0" w:color="auto"/>
              <w:right w:val="nil"/>
            </w:tcBorders>
            <w:vAlign w:val="center"/>
            <w:hideMark/>
          </w:tcPr>
          <w:p w14:paraId="1586CC6F" w14:textId="77777777" w:rsidR="00EF01E6" w:rsidRPr="000A74BB" w:rsidRDefault="00EF01E6" w:rsidP="008B5944">
            <w:pPr>
              <w:ind w:right="410"/>
              <w:jc w:val="right"/>
              <w:rPr>
                <w:rFonts w:ascii="Arial" w:hAnsi="Arial" w:cs="Arial"/>
                <w:bCs/>
                <w:sz w:val="20"/>
                <w:szCs w:val="20"/>
              </w:rPr>
            </w:pPr>
            <w:r w:rsidRPr="000A74BB">
              <w:rPr>
                <w:rFonts w:ascii="Arial" w:hAnsi="Arial" w:cs="Arial"/>
                <w:sz w:val="20"/>
                <w:szCs w:val="20"/>
              </w:rPr>
              <w:t>12,4</w:t>
            </w:r>
          </w:p>
        </w:tc>
      </w:tr>
    </w:tbl>
    <w:p w14:paraId="5C68EC57" w14:textId="4B90E5FF" w:rsidR="00460807" w:rsidRDefault="00EF01E6" w:rsidP="008B5944">
      <w:pPr>
        <w:spacing w:before="120" w:after="120" w:line="264" w:lineRule="auto"/>
        <w:ind w:firstLine="720"/>
        <w:jc w:val="both"/>
        <w:rPr>
          <w:rFonts w:ascii="Arial" w:hAnsi="Arial" w:cs="Arial"/>
          <w:b/>
          <w:bCs/>
          <w:sz w:val="24"/>
          <w:szCs w:val="24"/>
        </w:rPr>
      </w:pPr>
      <w:r w:rsidRPr="000A74BB">
        <w:rPr>
          <w:rFonts w:eastAsia="Calibri"/>
          <w:bCs/>
          <w:spacing w:val="2"/>
        </w:rPr>
        <w:t>Tính chung bảy tháng năm 2025, tổng mức bán lẻ hàng hóa và doanh thu dịch vụ tiêu dùng theo giá hiện hành ước đạt 3.993,4 nghìn tỷ đồng, tăng 9,3% so với cùng kỳ năm trước (cùng kỳ năm 2024 tăng 8,9%), nếu loại trừ yếu tố giá tăng 7,1% (cùng kỳ năm 2024 tăng 6,2%).</w:t>
      </w:r>
    </w:p>
    <w:p w14:paraId="20343185" w14:textId="77777777" w:rsidR="00D6457E" w:rsidRDefault="00D6457E" w:rsidP="00EF01E6">
      <w:pPr>
        <w:spacing w:before="120" w:after="240"/>
        <w:jc w:val="center"/>
        <w:rPr>
          <w:rFonts w:ascii="Arial" w:hAnsi="Arial" w:cs="Arial"/>
          <w:b/>
          <w:bCs/>
          <w:sz w:val="24"/>
          <w:szCs w:val="24"/>
        </w:rPr>
      </w:pPr>
    </w:p>
    <w:p w14:paraId="20639034" w14:textId="636E7966" w:rsidR="00EF01E6" w:rsidRPr="000A74BB" w:rsidRDefault="00EF01E6" w:rsidP="00EF01E6">
      <w:pPr>
        <w:spacing w:before="120" w:after="240"/>
        <w:jc w:val="center"/>
        <w:rPr>
          <w:rFonts w:ascii="Arial" w:hAnsi="Arial" w:cs="Arial"/>
          <w:b/>
          <w:bCs/>
          <w:sz w:val="24"/>
          <w:szCs w:val="24"/>
        </w:rPr>
      </w:pPr>
      <w:r w:rsidRPr="000A74BB">
        <w:rPr>
          <w:rFonts w:ascii="Arial" w:hAnsi="Arial" w:cs="Arial"/>
          <w:b/>
          <w:bCs/>
          <w:sz w:val="24"/>
          <w:szCs w:val="24"/>
        </w:rPr>
        <w:lastRenderedPageBreak/>
        <w:t>Hình 10. Tổng mức bán lẻ hàng hóa và doanh thu dịch vụ tiêu dùng</w:t>
      </w:r>
      <w:r w:rsidRPr="000A74BB">
        <w:rPr>
          <w:rFonts w:ascii="Arial" w:hAnsi="Arial" w:cs="Arial"/>
          <w:b/>
          <w:bCs/>
          <w:sz w:val="24"/>
          <w:szCs w:val="24"/>
        </w:rPr>
        <w:br/>
        <w:t>theo giá hiện hành 7 tháng giai đoạn 2021 - 2025</w:t>
      </w:r>
    </w:p>
    <w:p w14:paraId="5F9F5112" w14:textId="77777777" w:rsidR="00EF01E6" w:rsidRPr="000A74BB" w:rsidRDefault="00EF01E6" w:rsidP="008B5944">
      <w:pPr>
        <w:spacing w:before="120" w:after="120" w:line="264" w:lineRule="auto"/>
        <w:contextualSpacing/>
        <w:jc w:val="center"/>
        <w:rPr>
          <w:rFonts w:eastAsia="Calibri"/>
          <w:bCs/>
          <w:i/>
        </w:rPr>
      </w:pPr>
      <w:r w:rsidRPr="000A74BB">
        <w:rPr>
          <w:rFonts w:eastAsia="Calibri"/>
          <w:i/>
          <w:noProof/>
        </w:rPr>
        <w:drawing>
          <wp:inline distT="0" distB="0" distL="0" distR="0" wp14:anchorId="2110DE00" wp14:editId="5D8C6158">
            <wp:extent cx="5017770" cy="2386940"/>
            <wp:effectExtent l="0" t="0" r="0" b="0"/>
            <wp:docPr id="15" name="Picture 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A graph with numbers and a 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0020" cy="2411795"/>
                    </a:xfrm>
                    <a:prstGeom prst="rect">
                      <a:avLst/>
                    </a:prstGeom>
                    <a:noFill/>
                    <a:ln>
                      <a:noFill/>
                    </a:ln>
                  </pic:spPr>
                </pic:pic>
              </a:graphicData>
            </a:graphic>
          </wp:inline>
        </w:drawing>
      </w:r>
    </w:p>
    <w:p w14:paraId="7DF618D8" w14:textId="745EBA25" w:rsidR="00EF01E6" w:rsidRPr="000A74BB" w:rsidRDefault="00EF01E6">
      <w:pPr>
        <w:spacing w:before="240" w:after="120" w:line="264" w:lineRule="auto"/>
        <w:ind w:firstLine="720"/>
        <w:jc w:val="both"/>
        <w:rPr>
          <w:rFonts w:eastAsia="Calibri"/>
          <w:bCs/>
          <w:shd w:val="clear" w:color="auto" w:fill="FFFFFF"/>
        </w:rPr>
      </w:pPr>
      <w:r w:rsidRPr="000A74BB">
        <w:rPr>
          <w:rFonts w:eastAsia="Calibri"/>
          <w:bCs/>
          <w:i/>
        </w:rPr>
        <w:t xml:space="preserve">Doanh thu bán lẻ hàng hóa </w:t>
      </w:r>
      <w:r w:rsidRPr="000A74BB">
        <w:rPr>
          <w:rFonts w:eastAsia="Calibri"/>
          <w:bCs/>
        </w:rPr>
        <w:t xml:space="preserve">bảy tháng năm 2025 ước đạt 3.049,6 nghìn tỷ đồng, </w:t>
      </w:r>
      <w:r w:rsidRPr="000A74BB">
        <w:rPr>
          <w:rFonts w:eastAsia="Calibri"/>
          <w:bCs/>
          <w:shd w:val="clear" w:color="auto" w:fill="FFFFFF"/>
        </w:rPr>
        <w:t>chiếm 76,4% tổng mức và</w:t>
      </w:r>
      <w:r w:rsidRPr="000A74BB">
        <w:rPr>
          <w:rFonts w:eastAsia="Calibri"/>
          <w:bCs/>
        </w:rPr>
        <w:t xml:space="preserve"> </w:t>
      </w:r>
      <w:r w:rsidRPr="000A74BB">
        <w:rPr>
          <w:rFonts w:eastAsia="Calibri"/>
          <w:bCs/>
          <w:shd w:val="clear" w:color="auto" w:fill="FFFFFF"/>
        </w:rPr>
        <w:t xml:space="preserve">tăng 7,8% so với cùng kỳ năm trước. Trong đó, nhóm hàng lương thực, thực phẩm và vật phẩm văn hoá, giáo dục cùng tăng 9,4%; may mặc tăng 6,4%; đồ dùng, dụng cụ, trang thiết bị gia đình tăng 5,5%. </w:t>
      </w:r>
      <w:r w:rsidR="00616B53">
        <w:rPr>
          <w:rFonts w:eastAsia="Calibri"/>
          <w:bCs/>
          <w:shd w:val="clear" w:color="auto" w:fill="FFFFFF"/>
        </w:rPr>
        <w:t>M</w:t>
      </w:r>
      <w:r w:rsidR="00616B53" w:rsidRPr="000A74BB">
        <w:rPr>
          <w:rFonts w:eastAsia="Calibri"/>
          <w:bCs/>
          <w:shd w:val="clear" w:color="auto" w:fill="FFFFFF"/>
        </w:rPr>
        <w:t>ột số địa phương</w:t>
      </w:r>
      <w:r w:rsidR="00616B53">
        <w:rPr>
          <w:rFonts w:eastAsia="Calibri"/>
          <w:bCs/>
          <w:shd w:val="clear" w:color="auto" w:fill="FFFFFF"/>
        </w:rPr>
        <w:t xml:space="preserve"> có d</w:t>
      </w:r>
      <w:r w:rsidRPr="000A74BB">
        <w:rPr>
          <w:rFonts w:eastAsia="Calibri"/>
          <w:bCs/>
          <w:shd w:val="clear" w:color="auto" w:fill="FFFFFF"/>
        </w:rPr>
        <w:t xml:space="preserve">oanh thu bán lẻ hàng hóa bảy tháng năm 2025 </w:t>
      </w:r>
      <w:r w:rsidR="00616B53">
        <w:rPr>
          <w:rFonts w:eastAsia="Calibri"/>
          <w:bCs/>
          <w:shd w:val="clear" w:color="auto" w:fill="FFFFFF"/>
        </w:rPr>
        <w:t>tăng cao</w:t>
      </w:r>
      <w:r w:rsidR="00616B53" w:rsidRPr="000A74BB">
        <w:rPr>
          <w:rFonts w:eastAsia="Calibri"/>
          <w:bCs/>
          <w:shd w:val="clear" w:color="auto" w:fill="FFFFFF"/>
        </w:rPr>
        <w:t xml:space="preserve"> </w:t>
      </w:r>
      <w:r w:rsidRPr="000A74BB">
        <w:rPr>
          <w:rFonts w:eastAsia="Calibri"/>
          <w:bCs/>
          <w:shd w:val="clear" w:color="auto" w:fill="FFFFFF"/>
        </w:rPr>
        <w:t xml:space="preserve">so với cùng kỳ năm trước như: </w:t>
      </w:r>
      <w:r w:rsidRPr="00306C05">
        <w:rPr>
          <w:rFonts w:eastAsia="Calibri"/>
          <w:bCs/>
          <w:shd w:val="clear" w:color="auto" w:fill="FFFFFF"/>
        </w:rPr>
        <w:t>Đà Nẵng tăng 9,1%; Hải Phòng tăng 8,4%; Thành phố Hồ Chí Minh tăng 8,2%;</w:t>
      </w:r>
      <w:r w:rsidRPr="000A74BB">
        <w:rPr>
          <w:rFonts w:eastAsia="Calibri"/>
          <w:bCs/>
          <w:shd w:val="clear" w:color="auto" w:fill="FFFFFF"/>
          <w:lang w:val="vi-VN"/>
        </w:rPr>
        <w:t xml:space="preserve"> </w:t>
      </w:r>
      <w:r w:rsidRPr="00306C05">
        <w:rPr>
          <w:rFonts w:eastAsia="Calibri"/>
          <w:bCs/>
          <w:shd w:val="clear" w:color="auto" w:fill="FFFFFF"/>
        </w:rPr>
        <w:t>Hà Nội tăng 8,0%</w:t>
      </w:r>
      <w:r w:rsidRPr="000A74BB">
        <w:rPr>
          <w:rFonts w:eastAsia="Calibri"/>
          <w:bCs/>
          <w:shd w:val="clear" w:color="auto" w:fill="FFFFFF"/>
          <w:lang w:val="vi-VN"/>
        </w:rPr>
        <w:t xml:space="preserve">; </w:t>
      </w:r>
      <w:r w:rsidRPr="00306C05">
        <w:rPr>
          <w:rFonts w:eastAsia="Calibri"/>
          <w:bCs/>
          <w:shd w:val="clear" w:color="auto" w:fill="FFFFFF"/>
        </w:rPr>
        <w:t>Cần Thơ tăng 7,8%.</w:t>
      </w:r>
    </w:p>
    <w:p w14:paraId="65241997" w14:textId="40A67B89" w:rsidR="00EF01E6" w:rsidRPr="00306C05" w:rsidRDefault="00EF01E6">
      <w:pPr>
        <w:spacing w:after="120" w:line="264" w:lineRule="auto"/>
        <w:ind w:firstLine="720"/>
        <w:jc w:val="both"/>
        <w:rPr>
          <w:spacing w:val="-4"/>
        </w:rPr>
      </w:pPr>
      <w:r w:rsidRPr="000A74BB">
        <w:rPr>
          <w:bCs/>
          <w:i/>
          <w:iCs/>
          <w:spacing w:val="-4"/>
          <w:shd w:val="clear" w:color="auto" w:fill="FFFFFF"/>
        </w:rPr>
        <w:t>Doanh thu dịch vụ lưu trú, ăn uống</w:t>
      </w:r>
      <w:r w:rsidRPr="000A74BB">
        <w:rPr>
          <w:bCs/>
          <w:spacing w:val="-4"/>
          <w:shd w:val="clear" w:color="auto" w:fill="FFFFFF"/>
        </w:rPr>
        <w:t xml:space="preserve"> bảy tháng năm 2025 ước đạt 481,9 nghìn tỷ đồng, chiếm 12,1% tổng mức và tăng 15,0% so với cùng kỳ năm trước. Doanh thu bảy tháng năm 2025 so với cùng kỳ năm trước của một số địa phương như sau: </w:t>
      </w:r>
      <w:r w:rsidRPr="00306C05">
        <w:rPr>
          <w:rFonts w:eastAsia="Calibri"/>
          <w:iCs/>
        </w:rPr>
        <w:t xml:space="preserve">Thành phố Hồ Chí Minh tăng </w:t>
      </w:r>
      <w:r w:rsidRPr="00306C05">
        <w:rPr>
          <w:rFonts w:eastAsia="Calibri"/>
          <w:iCs/>
          <w:spacing w:val="-2"/>
        </w:rPr>
        <w:t>19,</w:t>
      </w:r>
      <w:r w:rsidR="00547852">
        <w:rPr>
          <w:rFonts w:eastAsia="Calibri"/>
          <w:iCs/>
          <w:spacing w:val="-2"/>
        </w:rPr>
        <w:t>7</w:t>
      </w:r>
      <w:r w:rsidRPr="00306C05">
        <w:rPr>
          <w:rFonts w:eastAsia="Calibri"/>
          <w:iCs/>
          <w:spacing w:val="-2"/>
        </w:rPr>
        <w:t>%; Đà Nẵng tăng 18,</w:t>
      </w:r>
      <w:r w:rsidR="00547852">
        <w:rPr>
          <w:rFonts w:eastAsia="Calibri"/>
          <w:iCs/>
          <w:spacing w:val="-2"/>
        </w:rPr>
        <w:t>6</w:t>
      </w:r>
      <w:r w:rsidRPr="00306C05">
        <w:rPr>
          <w:rFonts w:eastAsia="Calibri"/>
          <w:iCs/>
          <w:spacing w:val="-2"/>
        </w:rPr>
        <w:t>%; Cần Thơ tăng 14,8%; Hà Nội tăng 1</w:t>
      </w:r>
      <w:r w:rsidR="00547852">
        <w:rPr>
          <w:rFonts w:eastAsia="Calibri"/>
          <w:iCs/>
          <w:spacing w:val="-2"/>
        </w:rPr>
        <w:t>2,0</w:t>
      </w:r>
      <w:r w:rsidRPr="00306C05">
        <w:rPr>
          <w:rFonts w:eastAsia="Calibri"/>
          <w:iCs/>
          <w:spacing w:val="-2"/>
        </w:rPr>
        <w:t>%; Hải Phòng</w:t>
      </w:r>
      <w:r w:rsidRPr="00306C05">
        <w:rPr>
          <w:rFonts w:eastAsia="Calibri"/>
          <w:iCs/>
        </w:rPr>
        <w:t xml:space="preserve"> tăng 1</w:t>
      </w:r>
      <w:r w:rsidR="00547852">
        <w:rPr>
          <w:rFonts w:eastAsia="Calibri"/>
          <w:iCs/>
        </w:rPr>
        <w:t>1,0</w:t>
      </w:r>
      <w:r w:rsidRPr="00306C05">
        <w:rPr>
          <w:rFonts w:eastAsia="Calibri"/>
          <w:iCs/>
        </w:rPr>
        <w:t>%.</w:t>
      </w:r>
    </w:p>
    <w:p w14:paraId="34F6B143" w14:textId="2CC469B8" w:rsidR="00EF01E6" w:rsidRPr="00306C05" w:rsidRDefault="00EF01E6">
      <w:pPr>
        <w:spacing w:after="120" w:line="264" w:lineRule="auto"/>
        <w:ind w:firstLine="720"/>
        <w:jc w:val="both"/>
      </w:pPr>
      <w:r w:rsidRPr="00306C05">
        <w:rPr>
          <w:bCs/>
          <w:i/>
          <w:shd w:val="clear" w:color="auto" w:fill="FFFFFF"/>
        </w:rPr>
        <w:t>Doanh thu du lịch lữ hành</w:t>
      </w:r>
      <w:r w:rsidRPr="00306C05">
        <w:rPr>
          <w:bCs/>
          <w:shd w:val="clear" w:color="auto" w:fill="FFFFFF"/>
        </w:rPr>
        <w:t xml:space="preserve"> bảy tháng năm 2025 ước đạt 52,8 nghìn tỷ đồng, chiếm 1,3% tổng mức và tăng 20,0% so với cùng kỳ năm trước</w:t>
      </w:r>
      <w:r w:rsidRPr="00306C05">
        <w:rPr>
          <w:shd w:val="clear" w:color="auto" w:fill="FFFFFF"/>
        </w:rPr>
        <w:t xml:space="preserve">. </w:t>
      </w:r>
      <w:r w:rsidRPr="00306C05">
        <w:rPr>
          <w:bCs/>
          <w:shd w:val="clear" w:color="auto" w:fill="FFFFFF"/>
        </w:rPr>
        <w:t>D</w:t>
      </w:r>
      <w:r w:rsidRPr="00306C05">
        <w:rPr>
          <w:shd w:val="clear" w:color="auto" w:fill="FFFFFF"/>
        </w:rPr>
        <w:t>oanh</w:t>
      </w:r>
      <w:r w:rsidRPr="00306C05">
        <w:rPr>
          <w:bCs/>
          <w:shd w:val="clear" w:color="auto" w:fill="FFFFFF"/>
        </w:rPr>
        <w:t xml:space="preserve"> thu bảy tháng năm 2025 so với cùng kỳ năm trước của một số địa phương như sau: </w:t>
      </w:r>
      <w:r w:rsidRPr="00306C05">
        <w:t xml:space="preserve">Đồng Nai tăng </w:t>
      </w:r>
      <w:r w:rsidR="00C547CA">
        <w:t>31,5</w:t>
      </w:r>
      <w:r w:rsidRPr="00306C05">
        <w:t>%; Lào Cai tăng 28,</w:t>
      </w:r>
      <w:r w:rsidR="00C547CA">
        <w:t>4</w:t>
      </w:r>
      <w:r w:rsidRPr="00306C05">
        <w:t>%; Thành phố Hồ Chí Minh tăng 2</w:t>
      </w:r>
      <w:r w:rsidR="00C547CA">
        <w:t>3,4</w:t>
      </w:r>
      <w:r w:rsidRPr="00306C05">
        <w:t>%; Huế tăng 2</w:t>
      </w:r>
      <w:r w:rsidR="00C547CA">
        <w:t>2,6</w:t>
      </w:r>
      <w:r w:rsidRPr="00306C05">
        <w:t>%; Hà Nội tăng 1</w:t>
      </w:r>
      <w:r w:rsidR="00C547CA">
        <w:t>8,</w:t>
      </w:r>
      <w:r w:rsidR="003D7EB5">
        <w:t>8</w:t>
      </w:r>
      <w:r w:rsidRPr="00306C05">
        <w:t>%.</w:t>
      </w:r>
    </w:p>
    <w:p w14:paraId="76FB3765" w14:textId="77777777" w:rsidR="00EF01E6" w:rsidRPr="008B5944" w:rsidRDefault="00EF01E6">
      <w:pPr>
        <w:spacing w:after="120" w:line="264" w:lineRule="auto"/>
        <w:ind w:firstLine="720"/>
        <w:jc w:val="both"/>
        <w:rPr>
          <w:spacing w:val="-6"/>
        </w:rPr>
      </w:pPr>
      <w:r w:rsidRPr="008B5944">
        <w:rPr>
          <w:rFonts w:eastAsia="Calibri"/>
          <w:i/>
          <w:spacing w:val="-6"/>
        </w:rPr>
        <w:t>D</w:t>
      </w:r>
      <w:r w:rsidRPr="008B5944">
        <w:rPr>
          <w:rFonts w:eastAsia="Calibri"/>
          <w:bCs/>
          <w:i/>
          <w:spacing w:val="-6"/>
        </w:rPr>
        <w:t>oanh thu dịch vụ khác</w:t>
      </w:r>
      <w:r w:rsidRPr="008B5944">
        <w:rPr>
          <w:rFonts w:eastAsia="Calibri"/>
          <w:spacing w:val="-6"/>
        </w:rPr>
        <w:t xml:space="preserve"> bảy tháng năm 2025 ước đạt 409,1 nghìn tỷ đồng, chiếm 10,2% tổng mức và tăng 12,4% so với cùng kỳ năm trước. D</w:t>
      </w:r>
      <w:r w:rsidRPr="008B5944">
        <w:rPr>
          <w:rFonts w:eastAsia="Calibri"/>
          <w:bCs/>
          <w:spacing w:val="-6"/>
          <w:shd w:val="clear" w:color="auto" w:fill="FFFFFF"/>
        </w:rPr>
        <w:t>oanh thu bảy tháng năm 2025 so với cùng kỳ năm trước của một số địa phương như sau</w:t>
      </w:r>
      <w:r w:rsidRPr="008B5944">
        <w:rPr>
          <w:rFonts w:eastAsia="Calibri"/>
          <w:spacing w:val="-6"/>
        </w:rPr>
        <w:t xml:space="preserve">: </w:t>
      </w:r>
      <w:r w:rsidRPr="008B5944">
        <w:rPr>
          <w:spacing w:val="-6"/>
          <w:lang w:val="vi-VN"/>
        </w:rPr>
        <w:t xml:space="preserve">Bình Định tăng 18,8%; </w:t>
      </w:r>
      <w:r w:rsidRPr="008B5944">
        <w:rPr>
          <w:spacing w:val="-6"/>
        </w:rPr>
        <w:t>Thành phố</w:t>
      </w:r>
      <w:r w:rsidRPr="008B5944">
        <w:rPr>
          <w:spacing w:val="-6"/>
          <w:lang w:val="vi-VN"/>
        </w:rPr>
        <w:t xml:space="preserve"> Hồ Chí Minh tăng 13,4%; Bắc Ninh tăng 13</w:t>
      </w:r>
      <w:r w:rsidRPr="008B5944">
        <w:rPr>
          <w:spacing w:val="-6"/>
        </w:rPr>
        <w:t>,0</w:t>
      </w:r>
      <w:r w:rsidRPr="008B5944">
        <w:rPr>
          <w:spacing w:val="-6"/>
          <w:lang w:val="vi-VN"/>
        </w:rPr>
        <w:t>%; Cần Thơ tăng 12,8%; Lâm Đồng tăng 11,4%; Kiên Giang tăng 10,3%</w:t>
      </w:r>
      <w:r w:rsidRPr="008B5944">
        <w:rPr>
          <w:spacing w:val="-6"/>
        </w:rPr>
        <w:t>;</w:t>
      </w:r>
      <w:r w:rsidRPr="008B5944">
        <w:rPr>
          <w:spacing w:val="-6"/>
          <w:lang w:val="vi-VN"/>
        </w:rPr>
        <w:t xml:space="preserve"> Hà Nội tăng 8,5%.</w:t>
      </w:r>
    </w:p>
    <w:p w14:paraId="7CED0BA8" w14:textId="77777777" w:rsidR="00D6457E" w:rsidRDefault="00D6457E" w:rsidP="00D6457E">
      <w:pPr>
        <w:tabs>
          <w:tab w:val="left" w:pos="900"/>
          <w:tab w:val="left" w:pos="9475"/>
        </w:tabs>
        <w:spacing w:after="120" w:line="264" w:lineRule="auto"/>
        <w:ind w:firstLine="720"/>
        <w:jc w:val="both"/>
        <w:rPr>
          <w:b/>
          <w:bCs/>
          <w:i/>
          <w:iCs/>
          <w:lang w:val="de-DE"/>
        </w:rPr>
      </w:pPr>
      <w:bookmarkStart w:id="0" w:name="_Hlk89176061"/>
    </w:p>
    <w:p w14:paraId="6E6EB083" w14:textId="77777777" w:rsidR="00D6457E" w:rsidRDefault="00D6457E" w:rsidP="00D6457E">
      <w:pPr>
        <w:tabs>
          <w:tab w:val="left" w:pos="900"/>
          <w:tab w:val="left" w:pos="9475"/>
        </w:tabs>
        <w:spacing w:after="120" w:line="264" w:lineRule="auto"/>
        <w:ind w:firstLine="720"/>
        <w:jc w:val="both"/>
        <w:rPr>
          <w:b/>
          <w:bCs/>
          <w:i/>
          <w:iCs/>
          <w:lang w:val="de-DE"/>
        </w:rPr>
      </w:pPr>
    </w:p>
    <w:p w14:paraId="652A26E1" w14:textId="2CE52950" w:rsidR="00552563" w:rsidRPr="00552563" w:rsidRDefault="00552563" w:rsidP="008B5944">
      <w:pPr>
        <w:tabs>
          <w:tab w:val="left" w:pos="900"/>
          <w:tab w:val="left" w:pos="9475"/>
        </w:tabs>
        <w:spacing w:after="120" w:line="264" w:lineRule="auto"/>
        <w:ind w:firstLine="720"/>
        <w:jc w:val="both"/>
        <w:rPr>
          <w:b/>
          <w:bCs/>
          <w:i/>
          <w:iCs/>
          <w:lang w:val="de-DE"/>
        </w:rPr>
      </w:pPr>
      <w:r w:rsidRPr="00552563">
        <w:rPr>
          <w:b/>
          <w:bCs/>
          <w:i/>
          <w:iCs/>
          <w:lang w:val="de-DE"/>
        </w:rPr>
        <w:lastRenderedPageBreak/>
        <w:t>b) Xuất, nhập khẩu hàng hóa</w:t>
      </w:r>
      <w:r w:rsidRPr="00552563">
        <w:rPr>
          <w:b/>
          <w:bCs/>
          <w:i/>
          <w:iCs/>
          <w:vertAlign w:val="superscript"/>
          <w:lang w:val="de-DE"/>
        </w:rPr>
        <w:footnoteReference w:id="13"/>
      </w:r>
    </w:p>
    <w:p w14:paraId="500085A7" w14:textId="0929F1BF" w:rsidR="00552563" w:rsidRPr="00552563" w:rsidRDefault="00552563" w:rsidP="008B5944">
      <w:pPr>
        <w:tabs>
          <w:tab w:val="left" w:pos="900"/>
          <w:tab w:val="left" w:pos="9475"/>
        </w:tabs>
        <w:spacing w:after="120" w:line="264" w:lineRule="auto"/>
        <w:ind w:firstLine="720"/>
        <w:jc w:val="both"/>
        <w:rPr>
          <w:rFonts w:ascii="Arial" w:hAnsi="Arial" w:cs="Arial"/>
          <w:b/>
          <w:bCs/>
          <w:sz w:val="2"/>
          <w:szCs w:val="24"/>
          <w:lang w:val="es-NI"/>
        </w:rPr>
      </w:pPr>
      <w:r w:rsidRPr="008B5944">
        <w:rPr>
          <w:i/>
          <w:spacing w:val="-2"/>
          <w:lang w:val="de-DE"/>
        </w:rPr>
        <w:t>Trong th</w:t>
      </w:r>
      <w:r w:rsidRPr="008B5944">
        <w:rPr>
          <w:rFonts w:hint="eastAsia"/>
          <w:i/>
          <w:spacing w:val="-2"/>
          <w:lang w:val="de-DE"/>
        </w:rPr>
        <w:t>á</w:t>
      </w:r>
      <w:r w:rsidRPr="008B5944">
        <w:rPr>
          <w:i/>
          <w:spacing w:val="-2"/>
          <w:lang w:val="de-DE"/>
        </w:rPr>
        <w:t>ng Bảy, t</w:t>
      </w:r>
      <w:r w:rsidRPr="008B5944">
        <w:rPr>
          <w:i/>
          <w:spacing w:val="-2"/>
          <w:lang w:val="es-NI"/>
        </w:rPr>
        <w:t>ổng kim ngạch xuất, nhập khẩu h</w:t>
      </w:r>
      <w:r w:rsidRPr="008B5944">
        <w:rPr>
          <w:rFonts w:hint="eastAsia"/>
          <w:i/>
          <w:spacing w:val="-2"/>
          <w:lang w:val="es-NI"/>
        </w:rPr>
        <w:t>à</w:t>
      </w:r>
      <w:r w:rsidRPr="008B5944">
        <w:rPr>
          <w:i/>
          <w:spacing w:val="-2"/>
          <w:lang w:val="es-NI"/>
        </w:rPr>
        <w:t>ng h</w:t>
      </w:r>
      <w:r w:rsidRPr="008B5944">
        <w:rPr>
          <w:rFonts w:hint="eastAsia"/>
          <w:i/>
          <w:spacing w:val="-2"/>
          <w:lang w:val="es-NI"/>
        </w:rPr>
        <w:t>ó</w:t>
      </w:r>
      <w:r w:rsidRPr="008B5944">
        <w:rPr>
          <w:i/>
          <w:spacing w:val="-2"/>
          <w:lang w:val="es-NI"/>
        </w:rPr>
        <w:t>a</w:t>
      </w:r>
      <w:r w:rsidRPr="008B5944">
        <w:rPr>
          <w:b/>
          <w:bCs/>
          <w:i/>
          <w:iCs/>
          <w:vertAlign w:val="superscript"/>
          <w:lang w:val="de-DE"/>
        </w:rPr>
        <w:footnoteReference w:id="14"/>
      </w:r>
      <w:r w:rsidRPr="008B5944">
        <w:rPr>
          <w:i/>
          <w:spacing w:val="-2"/>
          <w:lang w:val="es-NI"/>
        </w:rPr>
        <w:t xml:space="preserve"> </w:t>
      </w:r>
      <w:r w:rsidRPr="008B5944">
        <w:rPr>
          <w:rFonts w:hint="eastAsia"/>
          <w:i/>
          <w:spacing w:val="-2"/>
          <w:lang w:val="es-NI"/>
        </w:rPr>
        <w:t>đ</w:t>
      </w:r>
      <w:r w:rsidRPr="008B5944">
        <w:rPr>
          <w:i/>
          <w:spacing w:val="-2"/>
          <w:lang w:val="es-NI"/>
        </w:rPr>
        <w:t>ạt 82,27 tỷ USD,</w:t>
      </w:r>
      <w:r w:rsidRPr="008B5944">
        <w:rPr>
          <w:i/>
          <w:spacing w:val="-2"/>
          <w:lang w:val="de-DE"/>
        </w:rPr>
        <w:t xml:space="preserve"> t</w:t>
      </w:r>
      <w:r w:rsidRPr="008B5944">
        <w:rPr>
          <w:rFonts w:hint="eastAsia"/>
          <w:i/>
          <w:spacing w:val="-2"/>
          <w:lang w:val="de-DE"/>
        </w:rPr>
        <w:t>ă</w:t>
      </w:r>
      <w:r w:rsidRPr="008B5944">
        <w:rPr>
          <w:i/>
          <w:spacing w:val="-2"/>
          <w:lang w:val="de-DE"/>
        </w:rPr>
        <w:t>ng 8,0% so với th</w:t>
      </w:r>
      <w:r w:rsidRPr="008B5944">
        <w:rPr>
          <w:rFonts w:hint="eastAsia"/>
          <w:i/>
          <w:spacing w:val="-2"/>
          <w:lang w:val="de-DE"/>
        </w:rPr>
        <w:t>á</w:t>
      </w:r>
      <w:r w:rsidRPr="008B5944">
        <w:rPr>
          <w:i/>
          <w:spacing w:val="-2"/>
          <w:lang w:val="de-DE"/>
        </w:rPr>
        <w:t>ng tr</w:t>
      </w:r>
      <w:r w:rsidRPr="008B5944">
        <w:rPr>
          <w:rFonts w:hint="eastAsia"/>
          <w:i/>
          <w:spacing w:val="-2"/>
          <w:lang w:val="de-DE"/>
        </w:rPr>
        <w:t>ư</w:t>
      </w:r>
      <w:r w:rsidRPr="008B5944">
        <w:rPr>
          <w:i/>
          <w:spacing w:val="-2"/>
          <w:lang w:val="de-DE"/>
        </w:rPr>
        <w:t>ớc v</w:t>
      </w:r>
      <w:r w:rsidRPr="008B5944">
        <w:rPr>
          <w:rFonts w:hint="eastAsia"/>
          <w:i/>
          <w:spacing w:val="-2"/>
          <w:lang w:val="de-DE"/>
        </w:rPr>
        <w:t>à</w:t>
      </w:r>
      <w:r w:rsidRPr="008B5944">
        <w:rPr>
          <w:i/>
          <w:spacing w:val="-2"/>
          <w:lang w:val="es-NI"/>
        </w:rPr>
        <w:t xml:space="preserve"> t</w:t>
      </w:r>
      <w:r w:rsidRPr="008B5944">
        <w:rPr>
          <w:rFonts w:hint="eastAsia"/>
          <w:i/>
          <w:spacing w:val="-2"/>
          <w:lang w:val="es-NI"/>
        </w:rPr>
        <w:t>ă</w:t>
      </w:r>
      <w:r w:rsidRPr="008B5944">
        <w:rPr>
          <w:i/>
          <w:spacing w:val="-2"/>
          <w:lang w:val="es-NI"/>
        </w:rPr>
        <w:t>ng 16,8% so với c</w:t>
      </w:r>
      <w:r w:rsidRPr="008B5944">
        <w:rPr>
          <w:rFonts w:hint="eastAsia"/>
          <w:i/>
          <w:spacing w:val="-2"/>
          <w:lang w:val="es-NI"/>
        </w:rPr>
        <w:t>ù</w:t>
      </w:r>
      <w:r w:rsidRPr="008B5944">
        <w:rPr>
          <w:i/>
          <w:spacing w:val="-2"/>
          <w:lang w:val="es-NI"/>
        </w:rPr>
        <w:t>ng kỳ n</w:t>
      </w:r>
      <w:r w:rsidRPr="008B5944">
        <w:rPr>
          <w:rFonts w:hint="eastAsia"/>
          <w:i/>
          <w:spacing w:val="-2"/>
          <w:lang w:val="es-NI"/>
        </w:rPr>
        <w:t>ă</w:t>
      </w:r>
      <w:r w:rsidRPr="008B5944">
        <w:rPr>
          <w:i/>
          <w:spacing w:val="-2"/>
          <w:lang w:val="es-NI"/>
        </w:rPr>
        <w:t>m tr</w:t>
      </w:r>
      <w:r w:rsidRPr="008B5944">
        <w:rPr>
          <w:rFonts w:hint="eastAsia"/>
          <w:i/>
          <w:spacing w:val="-2"/>
          <w:lang w:val="es-NI"/>
        </w:rPr>
        <w:t>ư</w:t>
      </w:r>
      <w:r w:rsidRPr="008B5944">
        <w:rPr>
          <w:i/>
          <w:spacing w:val="-2"/>
          <w:lang w:val="es-NI"/>
        </w:rPr>
        <w:t>ớc. T</w:t>
      </w:r>
      <w:r w:rsidRPr="008B5944">
        <w:rPr>
          <w:rFonts w:hint="eastAsia"/>
          <w:i/>
          <w:spacing w:val="-2"/>
          <w:lang w:val="es-NI"/>
        </w:rPr>
        <w:t>í</w:t>
      </w:r>
      <w:r w:rsidRPr="008B5944">
        <w:rPr>
          <w:i/>
          <w:spacing w:val="-2"/>
          <w:lang w:val="es-NI"/>
        </w:rPr>
        <w:t>nh chung bảy th</w:t>
      </w:r>
      <w:r w:rsidRPr="008B5944">
        <w:rPr>
          <w:rFonts w:hint="eastAsia"/>
          <w:i/>
          <w:spacing w:val="-2"/>
          <w:lang w:val="es-NI"/>
        </w:rPr>
        <w:t>á</w:t>
      </w:r>
      <w:r w:rsidRPr="008B5944">
        <w:rPr>
          <w:i/>
          <w:spacing w:val="-2"/>
          <w:lang w:val="es-NI"/>
        </w:rPr>
        <w:t>ng n</w:t>
      </w:r>
      <w:r w:rsidRPr="008B5944">
        <w:rPr>
          <w:rFonts w:hint="eastAsia"/>
          <w:i/>
          <w:spacing w:val="-2"/>
          <w:lang w:val="es-NI"/>
        </w:rPr>
        <w:t>ă</w:t>
      </w:r>
      <w:r w:rsidRPr="008B5944">
        <w:rPr>
          <w:i/>
          <w:spacing w:val="-2"/>
          <w:lang w:val="es-NI"/>
        </w:rPr>
        <w:t>m 2025, tổng kim ngạch xuất, nhập khẩu h</w:t>
      </w:r>
      <w:r w:rsidRPr="008B5944">
        <w:rPr>
          <w:rFonts w:hint="eastAsia"/>
          <w:i/>
          <w:spacing w:val="-2"/>
          <w:lang w:val="es-NI"/>
        </w:rPr>
        <w:t>à</w:t>
      </w:r>
      <w:r w:rsidRPr="008B5944">
        <w:rPr>
          <w:i/>
          <w:spacing w:val="-2"/>
          <w:lang w:val="es-NI"/>
        </w:rPr>
        <w:t>ng h</w:t>
      </w:r>
      <w:r w:rsidRPr="008B5944">
        <w:rPr>
          <w:rFonts w:hint="eastAsia"/>
          <w:i/>
          <w:spacing w:val="-2"/>
          <w:lang w:val="es-NI"/>
        </w:rPr>
        <w:t>ó</w:t>
      </w:r>
      <w:r w:rsidRPr="008B5944">
        <w:rPr>
          <w:i/>
          <w:spacing w:val="-2"/>
          <w:lang w:val="es-NI"/>
        </w:rPr>
        <w:t xml:space="preserve">a </w:t>
      </w:r>
      <w:r w:rsidRPr="008B5944">
        <w:rPr>
          <w:rFonts w:hint="eastAsia"/>
          <w:i/>
          <w:spacing w:val="-2"/>
          <w:lang w:val="es-NI"/>
        </w:rPr>
        <w:t>đ</w:t>
      </w:r>
      <w:r w:rsidRPr="008B5944">
        <w:rPr>
          <w:i/>
          <w:spacing w:val="-2"/>
          <w:lang w:val="es-NI"/>
        </w:rPr>
        <w:t>ạt 514,7 tỷ USD, t</w:t>
      </w:r>
      <w:r w:rsidRPr="008B5944">
        <w:rPr>
          <w:rFonts w:hint="eastAsia"/>
          <w:i/>
          <w:spacing w:val="-2"/>
          <w:lang w:val="es-NI"/>
        </w:rPr>
        <w:t>ă</w:t>
      </w:r>
      <w:r w:rsidRPr="008B5944">
        <w:rPr>
          <w:i/>
          <w:spacing w:val="-2"/>
          <w:lang w:val="es-NI"/>
        </w:rPr>
        <w:t>ng 16,3% so với c</w:t>
      </w:r>
      <w:r w:rsidRPr="008B5944">
        <w:rPr>
          <w:rFonts w:hint="eastAsia"/>
          <w:i/>
          <w:spacing w:val="-2"/>
          <w:lang w:val="es-NI"/>
        </w:rPr>
        <w:t>ù</w:t>
      </w:r>
      <w:r w:rsidRPr="008B5944">
        <w:rPr>
          <w:i/>
          <w:spacing w:val="-2"/>
          <w:lang w:val="es-NI"/>
        </w:rPr>
        <w:t>ng kỳ n</w:t>
      </w:r>
      <w:r w:rsidRPr="008B5944">
        <w:rPr>
          <w:rFonts w:hint="eastAsia"/>
          <w:i/>
          <w:spacing w:val="-2"/>
          <w:lang w:val="es-NI"/>
        </w:rPr>
        <w:t>ă</w:t>
      </w:r>
      <w:r w:rsidRPr="008B5944">
        <w:rPr>
          <w:i/>
          <w:spacing w:val="-2"/>
          <w:lang w:val="es-NI"/>
        </w:rPr>
        <w:t>m tr</w:t>
      </w:r>
      <w:r w:rsidRPr="008B5944">
        <w:rPr>
          <w:rFonts w:hint="eastAsia"/>
          <w:i/>
          <w:spacing w:val="-2"/>
          <w:lang w:val="es-NI"/>
        </w:rPr>
        <w:t>ư</w:t>
      </w:r>
      <w:r w:rsidRPr="008B5944">
        <w:rPr>
          <w:i/>
          <w:spacing w:val="-2"/>
          <w:lang w:val="es-NI"/>
        </w:rPr>
        <w:t xml:space="preserve">ớc, trong </w:t>
      </w:r>
      <w:r w:rsidRPr="008B5944">
        <w:rPr>
          <w:rFonts w:hint="eastAsia"/>
          <w:i/>
          <w:spacing w:val="-2"/>
          <w:lang w:val="es-NI"/>
        </w:rPr>
        <w:t>đó</w:t>
      </w:r>
      <w:r w:rsidRPr="008B5944">
        <w:rPr>
          <w:i/>
          <w:spacing w:val="-2"/>
          <w:lang w:val="es-NI"/>
        </w:rPr>
        <w:t xml:space="preserve"> xuất khẩu t</w:t>
      </w:r>
      <w:r w:rsidRPr="008B5944">
        <w:rPr>
          <w:rFonts w:hint="eastAsia"/>
          <w:i/>
          <w:spacing w:val="-2"/>
          <w:lang w:val="es-NI"/>
        </w:rPr>
        <w:t>ă</w:t>
      </w:r>
      <w:r w:rsidRPr="008B5944">
        <w:rPr>
          <w:i/>
          <w:spacing w:val="-2"/>
          <w:lang w:val="es-NI"/>
        </w:rPr>
        <w:t>ng 14,8%; nhập khẩu t</w:t>
      </w:r>
      <w:r w:rsidRPr="008B5944">
        <w:rPr>
          <w:rFonts w:hint="eastAsia"/>
          <w:i/>
          <w:spacing w:val="-2"/>
          <w:lang w:val="es-NI"/>
        </w:rPr>
        <w:t>ă</w:t>
      </w:r>
      <w:r w:rsidRPr="008B5944">
        <w:rPr>
          <w:i/>
          <w:spacing w:val="-2"/>
          <w:lang w:val="es-NI"/>
        </w:rPr>
        <w:t>ng 17,9%</w:t>
      </w:r>
      <w:r w:rsidRPr="008B5944">
        <w:rPr>
          <w:i/>
          <w:spacing w:val="-2"/>
          <w:vertAlign w:val="superscript"/>
          <w:lang w:val="es-NI"/>
        </w:rPr>
        <w:footnoteReference w:id="15"/>
      </w:r>
      <w:r w:rsidRPr="008B5944">
        <w:rPr>
          <w:i/>
          <w:spacing w:val="-2"/>
          <w:lang w:val="es-NI"/>
        </w:rPr>
        <w:t xml:space="preserve">. </w:t>
      </w:r>
      <w:r w:rsidRPr="008B5944">
        <w:rPr>
          <w:i/>
          <w:iCs/>
          <w:spacing w:val="-2"/>
        </w:rPr>
        <w:t>C</w:t>
      </w:r>
      <w:r w:rsidRPr="008B5944">
        <w:rPr>
          <w:rFonts w:hint="eastAsia"/>
          <w:i/>
          <w:iCs/>
          <w:spacing w:val="-2"/>
        </w:rPr>
        <w:t>á</w:t>
      </w:r>
      <w:r w:rsidRPr="008B5944">
        <w:rPr>
          <w:i/>
          <w:iCs/>
          <w:spacing w:val="-2"/>
        </w:rPr>
        <w:t>n c</w:t>
      </w:r>
      <w:r w:rsidRPr="008B5944">
        <w:rPr>
          <w:rFonts w:hint="eastAsia"/>
          <w:i/>
          <w:iCs/>
          <w:spacing w:val="-2"/>
        </w:rPr>
        <w:t>â</w:t>
      </w:r>
      <w:r w:rsidRPr="008B5944">
        <w:rPr>
          <w:i/>
          <w:iCs/>
          <w:spacing w:val="-2"/>
        </w:rPr>
        <w:t>n th</w:t>
      </w:r>
      <w:r w:rsidRPr="008B5944">
        <w:rPr>
          <w:rFonts w:hint="eastAsia"/>
          <w:i/>
          <w:iCs/>
          <w:spacing w:val="-2"/>
        </w:rPr>
        <w:t>ươ</w:t>
      </w:r>
      <w:r w:rsidRPr="008B5944">
        <w:rPr>
          <w:i/>
          <w:iCs/>
          <w:spacing w:val="-2"/>
        </w:rPr>
        <w:t>ng mại h</w:t>
      </w:r>
      <w:r w:rsidRPr="008B5944">
        <w:rPr>
          <w:rFonts w:hint="eastAsia"/>
          <w:i/>
          <w:iCs/>
          <w:spacing w:val="-2"/>
        </w:rPr>
        <w:t>à</w:t>
      </w:r>
      <w:r w:rsidRPr="008B5944">
        <w:rPr>
          <w:i/>
          <w:iCs/>
          <w:spacing w:val="-2"/>
        </w:rPr>
        <w:t>ng h</w:t>
      </w:r>
      <w:r w:rsidRPr="008B5944">
        <w:rPr>
          <w:rFonts w:hint="eastAsia"/>
          <w:i/>
          <w:iCs/>
          <w:spacing w:val="-2"/>
        </w:rPr>
        <w:t>ó</w:t>
      </w:r>
      <w:r w:rsidRPr="008B5944">
        <w:rPr>
          <w:i/>
          <w:iCs/>
          <w:spacing w:val="-2"/>
        </w:rPr>
        <w:t>a xuất si</w:t>
      </w:r>
      <w:r w:rsidRPr="008B5944">
        <w:rPr>
          <w:rFonts w:hint="eastAsia"/>
          <w:i/>
          <w:iCs/>
          <w:spacing w:val="-2"/>
        </w:rPr>
        <w:t>ê</w:t>
      </w:r>
      <w:r w:rsidRPr="008B5944">
        <w:rPr>
          <w:i/>
          <w:iCs/>
          <w:spacing w:val="-2"/>
        </w:rPr>
        <w:t>u 10,18 tỷ USD.</w:t>
      </w:r>
    </w:p>
    <w:p w14:paraId="3F1444B0" w14:textId="79F3ACF0" w:rsidR="00552563" w:rsidRPr="00552563" w:rsidRDefault="00552563" w:rsidP="00552563">
      <w:pPr>
        <w:tabs>
          <w:tab w:val="left" w:pos="900"/>
          <w:tab w:val="left" w:pos="9475"/>
        </w:tabs>
        <w:spacing w:before="60" w:after="120" w:line="264" w:lineRule="auto"/>
        <w:ind w:right="119"/>
        <w:jc w:val="center"/>
        <w:rPr>
          <w:rFonts w:ascii="Arial" w:hAnsi="Arial" w:cs="Arial"/>
          <w:b/>
          <w:bCs/>
          <w:sz w:val="24"/>
          <w:szCs w:val="24"/>
          <w:lang w:val="es-NI"/>
        </w:rPr>
      </w:pPr>
      <w:r w:rsidRPr="00552563">
        <w:rPr>
          <w:rFonts w:ascii="Arial" w:hAnsi="Arial" w:cs="Arial"/>
          <w:b/>
          <w:bCs/>
          <w:sz w:val="24"/>
          <w:szCs w:val="24"/>
          <w:lang w:val="es-NI"/>
        </w:rPr>
        <w:t>Hình 1</w:t>
      </w:r>
      <w:r w:rsidR="00460807">
        <w:rPr>
          <w:rFonts w:ascii="Arial" w:hAnsi="Arial" w:cs="Arial"/>
          <w:b/>
          <w:bCs/>
          <w:sz w:val="24"/>
          <w:szCs w:val="24"/>
          <w:lang w:val="es-NI"/>
        </w:rPr>
        <w:t>1</w:t>
      </w:r>
      <w:r w:rsidRPr="00552563">
        <w:rPr>
          <w:rFonts w:ascii="Arial" w:hAnsi="Arial" w:cs="Arial"/>
          <w:b/>
          <w:bCs/>
          <w:sz w:val="24"/>
          <w:szCs w:val="24"/>
          <w:lang w:val="es-NI"/>
        </w:rPr>
        <w:t>. Xuất, nhập khẩu hàng hóa 7 tháng năm 2025</w:t>
      </w:r>
    </w:p>
    <w:p w14:paraId="079BF8CB" w14:textId="77777777" w:rsidR="00552563" w:rsidRPr="00552563" w:rsidRDefault="00552563" w:rsidP="00552563">
      <w:pPr>
        <w:tabs>
          <w:tab w:val="left" w:pos="900"/>
          <w:tab w:val="left" w:pos="9475"/>
        </w:tabs>
        <w:spacing w:before="120" w:after="120" w:line="264" w:lineRule="auto"/>
        <w:ind w:right="119"/>
        <w:jc w:val="center"/>
        <w:rPr>
          <w:rFonts w:ascii="Arial" w:hAnsi="Arial" w:cs="Arial"/>
          <w:b/>
          <w:bCs/>
          <w:sz w:val="24"/>
          <w:szCs w:val="24"/>
          <w:lang w:val="es-NI"/>
        </w:rPr>
      </w:pPr>
      <w:r w:rsidRPr="00552563">
        <w:rPr>
          <w:noProof/>
        </w:rPr>
        <w:drawing>
          <wp:inline distT="0" distB="0" distL="0" distR="0" wp14:anchorId="1F3893B4" wp14:editId="0AD233A0">
            <wp:extent cx="5698541" cy="1769745"/>
            <wp:effectExtent l="0" t="0" r="0" b="1905"/>
            <wp:docPr id="12105398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3987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34128" cy="1780797"/>
                    </a:xfrm>
                    <a:prstGeom prst="rect">
                      <a:avLst/>
                    </a:prstGeom>
                  </pic:spPr>
                </pic:pic>
              </a:graphicData>
            </a:graphic>
          </wp:inline>
        </w:drawing>
      </w:r>
    </w:p>
    <w:p w14:paraId="05A449F5" w14:textId="77777777" w:rsidR="00552563" w:rsidRPr="00552563" w:rsidRDefault="00552563" w:rsidP="008B5944">
      <w:pPr>
        <w:spacing w:after="120" w:line="276" w:lineRule="auto"/>
        <w:ind w:firstLine="720"/>
        <w:rPr>
          <w:b/>
          <w:bCs/>
          <w:i/>
          <w:iCs/>
          <w:lang w:val="de-DE"/>
        </w:rPr>
      </w:pPr>
      <w:r w:rsidRPr="00552563">
        <w:rPr>
          <w:b/>
          <w:bCs/>
          <w:i/>
          <w:iCs/>
          <w:lang w:val="de-DE"/>
        </w:rPr>
        <w:t>Xuất khẩu hàng hóa</w:t>
      </w:r>
    </w:p>
    <w:p w14:paraId="0AB5F70D" w14:textId="77777777" w:rsidR="00552563" w:rsidRPr="00552563" w:rsidRDefault="00552563" w:rsidP="008B5944">
      <w:pPr>
        <w:tabs>
          <w:tab w:val="num" w:pos="0"/>
          <w:tab w:val="left" w:pos="9475"/>
        </w:tabs>
        <w:spacing w:after="120" w:line="276" w:lineRule="auto"/>
        <w:ind w:right="6" w:firstLine="720"/>
        <w:jc w:val="both"/>
        <w:rPr>
          <w:bCs/>
          <w:lang w:val="de-DE"/>
        </w:rPr>
      </w:pPr>
      <w:r w:rsidRPr="00552563">
        <w:rPr>
          <w:bCs/>
          <w:lang w:val="de-DE"/>
        </w:rPr>
        <w:t>Kim ngạch xuất khẩu hàng hóa tháng 6/2025 đạt 39,52 tỷ USD</w:t>
      </w:r>
      <w:r w:rsidRPr="00552563">
        <w:rPr>
          <w:bCs/>
          <w:vertAlign w:val="superscript"/>
          <w:lang w:val="de-DE"/>
        </w:rPr>
        <w:footnoteReference w:id="16"/>
      </w:r>
      <w:r w:rsidRPr="00552563">
        <w:rPr>
          <w:bCs/>
          <w:lang w:val="de-DE"/>
        </w:rPr>
        <w:t>.</w:t>
      </w:r>
    </w:p>
    <w:p w14:paraId="01D3664C" w14:textId="77777777" w:rsidR="00552563" w:rsidRPr="00552563" w:rsidRDefault="00552563" w:rsidP="008B5944">
      <w:pPr>
        <w:tabs>
          <w:tab w:val="num" w:pos="0"/>
          <w:tab w:val="left" w:pos="9475"/>
        </w:tabs>
        <w:spacing w:after="120" w:line="276" w:lineRule="auto"/>
        <w:ind w:right="6" w:firstLine="720"/>
        <w:jc w:val="both"/>
        <w:rPr>
          <w:bCs/>
          <w:lang w:val="de-DE"/>
        </w:rPr>
      </w:pPr>
      <w:r w:rsidRPr="00552563">
        <w:rPr>
          <w:bCs/>
          <w:lang w:val="de-DE"/>
        </w:rPr>
        <w:t xml:space="preserve">Kim ngạch xuất khẩu hàng hóa tháng Bảy đạt 42,27 tỷ USD, tăng 6,9% so với tháng trước. Trong đó, khu vực kinh tế trong nước đạt 8,95 tỷ USD, tăng 3,5%; khu vực có vốn đầu tư nước ngoài (kể cả dầu thô) đạt 33,32 tỷ USD, tăng 7,9%. So với cùng kỳ năm trước, kim ngạch xuất khẩu hàng hóa tháng Bảy tăng 16,0%, trong đó khu vực kinh tế trong nước giảm 10,3%, khu vực có vốn đầu tư nước ngoài (kể cả dầu thô) tăng 25,9%. </w:t>
      </w:r>
    </w:p>
    <w:p w14:paraId="26082A68" w14:textId="77777777" w:rsidR="00552563" w:rsidRPr="00552563" w:rsidRDefault="00552563" w:rsidP="008B5944">
      <w:pPr>
        <w:tabs>
          <w:tab w:val="num" w:pos="0"/>
          <w:tab w:val="left" w:pos="9475"/>
        </w:tabs>
        <w:spacing w:after="120" w:line="276" w:lineRule="auto"/>
        <w:ind w:right="6" w:firstLine="720"/>
        <w:jc w:val="both"/>
        <w:rPr>
          <w:iCs/>
          <w:lang w:val="de-DE"/>
        </w:rPr>
      </w:pPr>
      <w:r w:rsidRPr="00552563">
        <w:rPr>
          <w:iCs/>
          <w:lang w:val="de-DE"/>
        </w:rPr>
        <w:t xml:space="preserve">Tính chung bảy tháng năm 2025, kim ngạch xuất khẩu hàng hóa đạt 262,44 tỷ USD, tăng 14,8% so với cùng kỳ năm trước. </w:t>
      </w:r>
      <w:bookmarkStart w:id="1" w:name="_Hlk181359904"/>
      <w:r w:rsidRPr="00552563">
        <w:rPr>
          <w:iCs/>
          <w:lang w:val="de-DE"/>
        </w:rPr>
        <w:t xml:space="preserve">Trong đó, khu vực kinh tế trong nước đạt 67,48 tỷ USD, tăng 6,7%, chiếm 25,7% tổng kim ngạch xuất khẩu; khu vực có vốn đầu tư nước ngoài (kể cả dầu thô) đạt 194,96 tỷ USD, tăng 17,9%, chiếm 74,3%. </w:t>
      </w:r>
      <w:bookmarkEnd w:id="1"/>
    </w:p>
    <w:p w14:paraId="224FA57D" w14:textId="77777777" w:rsidR="00552563" w:rsidRPr="00552563" w:rsidRDefault="00552563" w:rsidP="008B5944">
      <w:pPr>
        <w:tabs>
          <w:tab w:val="num" w:pos="0"/>
          <w:tab w:val="left" w:pos="9475"/>
        </w:tabs>
        <w:spacing w:after="120" w:line="276" w:lineRule="auto"/>
        <w:ind w:right="6" w:firstLine="720"/>
        <w:jc w:val="both"/>
        <w:rPr>
          <w:b/>
          <w:bCs/>
          <w:spacing w:val="-4"/>
          <w:lang w:val="es-NI"/>
        </w:rPr>
      </w:pPr>
      <w:r w:rsidRPr="00552563">
        <w:rPr>
          <w:spacing w:val="-4"/>
          <w:lang w:val="de-DE"/>
        </w:rPr>
        <w:t xml:space="preserve">Trong bảy tháng năm 2025 có 28 mặt hàng đạt kim ngạch xuất khẩu trên 1 tỷ USD, chiếm 91,7% tổng kim ngạch xuất khẩu (có 9 mặt hàng xuất khẩu trên 5 tỷ USD, chiếm 72,3%). </w:t>
      </w:r>
    </w:p>
    <w:p w14:paraId="648C5E63" w14:textId="77777777" w:rsidR="00552563" w:rsidRPr="00552563" w:rsidRDefault="00552563" w:rsidP="00552563">
      <w:pPr>
        <w:tabs>
          <w:tab w:val="num" w:pos="0"/>
          <w:tab w:val="left" w:pos="9475"/>
        </w:tabs>
        <w:spacing w:before="240" w:after="240"/>
        <w:ind w:right="119"/>
        <w:jc w:val="center"/>
        <w:rPr>
          <w:rFonts w:ascii="Arial" w:hAnsi="Arial" w:cs="Arial"/>
          <w:b/>
          <w:bCs/>
          <w:sz w:val="24"/>
          <w:szCs w:val="24"/>
          <w:lang w:val="es-NI"/>
        </w:rPr>
      </w:pPr>
      <w:r w:rsidRPr="00552563">
        <w:rPr>
          <w:rFonts w:ascii="Arial" w:hAnsi="Arial" w:cs="Arial"/>
          <w:b/>
          <w:spacing w:val="-2"/>
          <w:sz w:val="24"/>
          <w:szCs w:val="20"/>
          <w:lang w:val="pl-PL"/>
        </w:rPr>
        <w:lastRenderedPageBreak/>
        <w:t>Biểu 4. Giá trị</w:t>
      </w:r>
      <w:r w:rsidRPr="00552563">
        <w:rPr>
          <w:rFonts w:ascii="Arial" w:hAnsi="Arial" w:cs="Arial"/>
          <w:b/>
          <w:bCs/>
          <w:sz w:val="24"/>
          <w:szCs w:val="24"/>
          <w:lang w:val="es-NI"/>
        </w:rPr>
        <w:t xml:space="preserve"> một số mặt hàng xuất khẩu 7 tháng năm 2025</w:t>
      </w:r>
    </w:p>
    <w:tbl>
      <w:tblPr>
        <w:tblStyle w:val="TableGrid3"/>
        <w:tblW w:w="900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4"/>
        <w:gridCol w:w="1887"/>
        <w:gridCol w:w="2614"/>
      </w:tblGrid>
      <w:tr w:rsidR="00552563" w:rsidRPr="00552563" w14:paraId="60F26CEF" w14:textId="77777777" w:rsidTr="008B5944">
        <w:trPr>
          <w:trHeight w:val="483"/>
        </w:trPr>
        <w:tc>
          <w:tcPr>
            <w:tcW w:w="4504" w:type="dxa"/>
          </w:tcPr>
          <w:p w14:paraId="780DDBB8" w14:textId="77777777" w:rsidR="00552563" w:rsidRPr="00552563" w:rsidRDefault="00552563" w:rsidP="008B5944">
            <w:pPr>
              <w:tabs>
                <w:tab w:val="num" w:pos="0"/>
                <w:tab w:val="left" w:pos="9475"/>
              </w:tabs>
              <w:ind w:right="119"/>
              <w:jc w:val="right"/>
              <w:rPr>
                <w:rFonts w:ascii="Arial" w:hAnsi="Arial" w:cs="Arial"/>
                <w:b/>
                <w:bCs/>
                <w:i/>
                <w:iCs/>
                <w:sz w:val="20"/>
                <w:szCs w:val="20"/>
                <w:lang w:val="es-NI"/>
              </w:rPr>
            </w:pPr>
          </w:p>
          <w:p w14:paraId="46B3274A" w14:textId="77777777" w:rsidR="00552563" w:rsidRPr="00552563" w:rsidRDefault="00552563" w:rsidP="008B5944">
            <w:pPr>
              <w:tabs>
                <w:tab w:val="num" w:pos="0"/>
                <w:tab w:val="left" w:pos="9475"/>
              </w:tabs>
              <w:ind w:right="119"/>
              <w:jc w:val="right"/>
              <w:rPr>
                <w:rFonts w:ascii="Arial" w:hAnsi="Arial" w:cs="Arial"/>
                <w:b/>
                <w:bCs/>
                <w:i/>
                <w:iCs/>
                <w:sz w:val="20"/>
                <w:szCs w:val="20"/>
                <w:lang w:val="es-NI"/>
              </w:rPr>
            </w:pPr>
          </w:p>
        </w:tc>
        <w:tc>
          <w:tcPr>
            <w:tcW w:w="1887" w:type="dxa"/>
            <w:tcBorders>
              <w:top w:val="single" w:sz="4" w:space="0" w:color="auto"/>
              <w:bottom w:val="single" w:sz="4" w:space="0" w:color="auto"/>
            </w:tcBorders>
          </w:tcPr>
          <w:p w14:paraId="61F72F0D" w14:textId="77777777" w:rsidR="00552563" w:rsidRPr="00552563" w:rsidRDefault="00552563" w:rsidP="008B5944">
            <w:pPr>
              <w:jc w:val="center"/>
              <w:rPr>
                <w:rFonts w:ascii="Arial" w:hAnsi="Arial" w:cs="Arial"/>
                <w:sz w:val="20"/>
                <w:szCs w:val="20"/>
                <w:lang w:val="es-NI"/>
              </w:rPr>
            </w:pPr>
            <w:r w:rsidRPr="00552563">
              <w:rPr>
                <w:rFonts w:ascii="Arial" w:hAnsi="Arial" w:cs="Arial"/>
                <w:sz w:val="20"/>
                <w:szCs w:val="20"/>
                <w:lang w:val="es-NI"/>
              </w:rPr>
              <w:t>Giá trị</w:t>
            </w:r>
          </w:p>
          <w:p w14:paraId="62D4F883" w14:textId="77777777" w:rsidR="00552563" w:rsidRPr="00552563" w:rsidRDefault="00552563" w:rsidP="008B5944">
            <w:pPr>
              <w:jc w:val="center"/>
              <w:rPr>
                <w:rFonts w:ascii="Arial" w:hAnsi="Arial" w:cs="Arial"/>
                <w:b/>
                <w:bCs/>
                <w:i/>
                <w:iCs/>
                <w:sz w:val="20"/>
                <w:szCs w:val="20"/>
                <w:lang w:val="es-NI"/>
              </w:rPr>
            </w:pPr>
            <w:r w:rsidRPr="00552563">
              <w:rPr>
                <w:rFonts w:ascii="Arial" w:hAnsi="Arial" w:cs="Arial"/>
                <w:i/>
                <w:iCs/>
                <w:sz w:val="20"/>
                <w:szCs w:val="20"/>
                <w:lang w:val="es-NI"/>
              </w:rPr>
              <w:t>(Triệu USD)</w:t>
            </w:r>
          </w:p>
        </w:tc>
        <w:tc>
          <w:tcPr>
            <w:tcW w:w="2614" w:type="dxa"/>
            <w:tcBorders>
              <w:top w:val="single" w:sz="4" w:space="0" w:color="auto"/>
              <w:bottom w:val="single" w:sz="4" w:space="0" w:color="auto"/>
            </w:tcBorders>
          </w:tcPr>
          <w:p w14:paraId="1F4E9DEC" w14:textId="77777777" w:rsidR="00552563" w:rsidRPr="00552563" w:rsidRDefault="00552563" w:rsidP="008B5944">
            <w:pPr>
              <w:jc w:val="center"/>
              <w:rPr>
                <w:rFonts w:ascii="Arial" w:hAnsi="Arial" w:cs="Arial"/>
                <w:sz w:val="20"/>
                <w:szCs w:val="20"/>
                <w:lang w:val="es-NI"/>
              </w:rPr>
            </w:pPr>
            <w:r w:rsidRPr="00552563">
              <w:rPr>
                <w:rFonts w:ascii="Arial" w:hAnsi="Arial" w:cs="Arial"/>
                <w:sz w:val="20"/>
                <w:szCs w:val="20"/>
                <w:lang w:val="es-NI"/>
              </w:rPr>
              <w:t>Tốc độ tăng/giảm so với</w:t>
            </w:r>
          </w:p>
          <w:p w14:paraId="260D2287" w14:textId="77777777" w:rsidR="00552563" w:rsidRPr="00552563" w:rsidRDefault="00552563" w:rsidP="008B5944">
            <w:pPr>
              <w:jc w:val="center"/>
              <w:rPr>
                <w:rFonts w:ascii="Arial" w:hAnsi="Arial" w:cs="Arial"/>
                <w:b/>
                <w:bCs/>
                <w:i/>
                <w:iCs/>
                <w:sz w:val="20"/>
                <w:szCs w:val="20"/>
              </w:rPr>
            </w:pPr>
            <w:r w:rsidRPr="00552563">
              <w:rPr>
                <w:rFonts w:ascii="Arial" w:hAnsi="Arial" w:cs="Arial"/>
                <w:sz w:val="20"/>
                <w:szCs w:val="20"/>
              </w:rPr>
              <w:t xml:space="preserve">cùng kỳ năm trước </w:t>
            </w:r>
            <w:r w:rsidRPr="00552563">
              <w:rPr>
                <w:rFonts w:ascii="Arial" w:hAnsi="Arial" w:cs="Arial"/>
                <w:i/>
                <w:iCs/>
                <w:sz w:val="20"/>
                <w:szCs w:val="20"/>
              </w:rPr>
              <w:t>(%)</w:t>
            </w:r>
          </w:p>
        </w:tc>
      </w:tr>
      <w:tr w:rsidR="00552563" w:rsidRPr="00552563" w14:paraId="21C7E39D" w14:textId="77777777" w:rsidTr="008B5944">
        <w:trPr>
          <w:trHeight w:val="241"/>
        </w:trPr>
        <w:tc>
          <w:tcPr>
            <w:tcW w:w="4504" w:type="dxa"/>
            <w:vAlign w:val="bottom"/>
          </w:tcPr>
          <w:p w14:paraId="4F49E923" w14:textId="77777777" w:rsidR="00552563" w:rsidRPr="00552563" w:rsidRDefault="00552563" w:rsidP="008B5944">
            <w:pPr>
              <w:rPr>
                <w:rFonts w:ascii="Arial" w:hAnsi="Arial" w:cs="Arial"/>
                <w:b/>
                <w:bCs/>
                <w:sz w:val="20"/>
                <w:szCs w:val="20"/>
              </w:rPr>
            </w:pPr>
            <w:r w:rsidRPr="00552563">
              <w:rPr>
                <w:rFonts w:ascii="Arial" w:hAnsi="Arial" w:cs="Arial"/>
                <w:b/>
                <w:bCs/>
                <w:sz w:val="20"/>
                <w:szCs w:val="20"/>
              </w:rPr>
              <w:t>Các mặt hàng đạt giá trị trên 5 tỷ USD</w:t>
            </w:r>
          </w:p>
        </w:tc>
        <w:tc>
          <w:tcPr>
            <w:tcW w:w="1887" w:type="dxa"/>
            <w:tcBorders>
              <w:top w:val="single" w:sz="4" w:space="0" w:color="auto"/>
            </w:tcBorders>
          </w:tcPr>
          <w:p w14:paraId="6181B529" w14:textId="77777777" w:rsidR="00552563" w:rsidRPr="00552563" w:rsidRDefault="00552563" w:rsidP="008B5944">
            <w:pPr>
              <w:tabs>
                <w:tab w:val="num" w:pos="0"/>
                <w:tab w:val="left" w:pos="9475"/>
              </w:tabs>
              <w:ind w:right="119"/>
              <w:jc w:val="right"/>
              <w:rPr>
                <w:rFonts w:ascii="Arial" w:hAnsi="Arial" w:cs="Arial"/>
                <w:b/>
                <w:bCs/>
                <w:i/>
                <w:iCs/>
                <w:sz w:val="20"/>
                <w:szCs w:val="20"/>
              </w:rPr>
            </w:pPr>
          </w:p>
        </w:tc>
        <w:tc>
          <w:tcPr>
            <w:tcW w:w="2614" w:type="dxa"/>
            <w:tcBorders>
              <w:top w:val="single" w:sz="4" w:space="0" w:color="auto"/>
            </w:tcBorders>
          </w:tcPr>
          <w:p w14:paraId="480FD0BE" w14:textId="77777777" w:rsidR="00552563" w:rsidRPr="00552563" w:rsidRDefault="00552563" w:rsidP="008B5944">
            <w:pPr>
              <w:tabs>
                <w:tab w:val="num" w:pos="0"/>
                <w:tab w:val="left" w:pos="9475"/>
              </w:tabs>
              <w:ind w:right="119"/>
              <w:jc w:val="right"/>
              <w:rPr>
                <w:rFonts w:ascii="Arial" w:hAnsi="Arial" w:cs="Arial"/>
                <w:b/>
                <w:bCs/>
                <w:i/>
                <w:iCs/>
                <w:sz w:val="20"/>
                <w:szCs w:val="20"/>
              </w:rPr>
            </w:pPr>
          </w:p>
        </w:tc>
      </w:tr>
      <w:tr w:rsidR="00552563" w:rsidRPr="00552563" w14:paraId="6533D9D0" w14:textId="77777777" w:rsidTr="008B5944">
        <w:trPr>
          <w:trHeight w:val="241"/>
        </w:trPr>
        <w:tc>
          <w:tcPr>
            <w:tcW w:w="4504" w:type="dxa"/>
            <w:vAlign w:val="bottom"/>
          </w:tcPr>
          <w:p w14:paraId="0C73C8AB"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Điện tử, máy tính và linh kiện</w:t>
            </w:r>
          </w:p>
        </w:tc>
        <w:tc>
          <w:tcPr>
            <w:tcW w:w="1887" w:type="dxa"/>
            <w:vAlign w:val="bottom"/>
          </w:tcPr>
          <w:p w14:paraId="50E5F84D"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56.711</w:t>
            </w:r>
          </w:p>
        </w:tc>
        <w:tc>
          <w:tcPr>
            <w:tcW w:w="2614" w:type="dxa"/>
            <w:vAlign w:val="bottom"/>
          </w:tcPr>
          <w:p w14:paraId="217373F2"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41,9</w:t>
            </w:r>
          </w:p>
        </w:tc>
      </w:tr>
      <w:tr w:rsidR="00552563" w:rsidRPr="00552563" w14:paraId="69A0E363" w14:textId="77777777" w:rsidTr="008B5944">
        <w:trPr>
          <w:trHeight w:val="241"/>
        </w:trPr>
        <w:tc>
          <w:tcPr>
            <w:tcW w:w="4504" w:type="dxa"/>
            <w:vAlign w:val="bottom"/>
          </w:tcPr>
          <w:p w14:paraId="1137E4AB"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Điện thoại các loại và linh kiện</w:t>
            </w:r>
          </w:p>
        </w:tc>
        <w:tc>
          <w:tcPr>
            <w:tcW w:w="1887" w:type="dxa"/>
            <w:vAlign w:val="bottom"/>
          </w:tcPr>
          <w:p w14:paraId="284C4160"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32.460</w:t>
            </w:r>
          </w:p>
        </w:tc>
        <w:tc>
          <w:tcPr>
            <w:tcW w:w="2614" w:type="dxa"/>
            <w:vAlign w:val="bottom"/>
          </w:tcPr>
          <w:p w14:paraId="1074BDC5"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-0,4</w:t>
            </w:r>
          </w:p>
        </w:tc>
      </w:tr>
      <w:tr w:rsidR="00552563" w:rsidRPr="00552563" w14:paraId="5DCE6B52" w14:textId="77777777" w:rsidTr="008B5944">
        <w:trPr>
          <w:trHeight w:val="241"/>
        </w:trPr>
        <w:tc>
          <w:tcPr>
            <w:tcW w:w="4504" w:type="dxa"/>
            <w:vAlign w:val="bottom"/>
          </w:tcPr>
          <w:p w14:paraId="5C404F57"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Máy móc, thiết bị, dụng cụ, phụ tùng khác</w:t>
            </w:r>
          </w:p>
        </w:tc>
        <w:tc>
          <w:tcPr>
            <w:tcW w:w="1887" w:type="dxa"/>
            <w:vAlign w:val="bottom"/>
          </w:tcPr>
          <w:p w14:paraId="2A30988B"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32.199</w:t>
            </w:r>
          </w:p>
        </w:tc>
        <w:tc>
          <w:tcPr>
            <w:tcW w:w="2614" w:type="dxa"/>
            <w:vAlign w:val="bottom"/>
          </w:tcPr>
          <w:p w14:paraId="2558E177"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14,6</w:t>
            </w:r>
          </w:p>
        </w:tc>
      </w:tr>
      <w:tr w:rsidR="00552563" w:rsidRPr="00552563" w14:paraId="3C4D5DB4" w14:textId="77777777" w:rsidTr="008B5944">
        <w:trPr>
          <w:trHeight w:val="229"/>
        </w:trPr>
        <w:tc>
          <w:tcPr>
            <w:tcW w:w="4504" w:type="dxa"/>
            <w:vAlign w:val="bottom"/>
          </w:tcPr>
          <w:p w14:paraId="52F80181"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Hàng dệt, may</w:t>
            </w:r>
          </w:p>
        </w:tc>
        <w:tc>
          <w:tcPr>
            <w:tcW w:w="1887" w:type="dxa"/>
            <w:vAlign w:val="bottom"/>
          </w:tcPr>
          <w:p w14:paraId="0F5E8E1A"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22.589</w:t>
            </w:r>
          </w:p>
        </w:tc>
        <w:tc>
          <w:tcPr>
            <w:tcW w:w="2614" w:type="dxa"/>
            <w:vAlign w:val="bottom"/>
          </w:tcPr>
          <w:p w14:paraId="397E45ED"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11,0</w:t>
            </w:r>
          </w:p>
        </w:tc>
      </w:tr>
      <w:tr w:rsidR="00552563" w:rsidRPr="00552563" w14:paraId="64AFD1A3" w14:textId="77777777" w:rsidTr="008B5944">
        <w:trPr>
          <w:trHeight w:val="241"/>
        </w:trPr>
        <w:tc>
          <w:tcPr>
            <w:tcW w:w="4504" w:type="dxa"/>
            <w:vAlign w:val="bottom"/>
          </w:tcPr>
          <w:p w14:paraId="7F109C9A"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Giày dép</w:t>
            </w:r>
          </w:p>
        </w:tc>
        <w:tc>
          <w:tcPr>
            <w:tcW w:w="1887" w:type="dxa"/>
            <w:vAlign w:val="bottom"/>
          </w:tcPr>
          <w:p w14:paraId="3B54B476"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14.086</w:t>
            </w:r>
          </w:p>
        </w:tc>
        <w:tc>
          <w:tcPr>
            <w:tcW w:w="2614" w:type="dxa"/>
            <w:vAlign w:val="bottom"/>
          </w:tcPr>
          <w:p w14:paraId="3B9BD7BA"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9,0</w:t>
            </w:r>
          </w:p>
        </w:tc>
      </w:tr>
      <w:tr w:rsidR="00552563" w:rsidRPr="00552563" w14:paraId="36B7D6C5" w14:textId="77777777" w:rsidTr="008B5944">
        <w:trPr>
          <w:trHeight w:val="241"/>
        </w:trPr>
        <w:tc>
          <w:tcPr>
            <w:tcW w:w="4504" w:type="dxa"/>
            <w:vAlign w:val="bottom"/>
          </w:tcPr>
          <w:p w14:paraId="480A369A"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Phương tiện vận tải và phụ tùng</w:t>
            </w:r>
          </w:p>
        </w:tc>
        <w:tc>
          <w:tcPr>
            <w:tcW w:w="1887" w:type="dxa"/>
            <w:vAlign w:val="bottom"/>
          </w:tcPr>
          <w:p w14:paraId="4ADD8A5C"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9.909</w:t>
            </w:r>
          </w:p>
        </w:tc>
        <w:tc>
          <w:tcPr>
            <w:tcW w:w="2614" w:type="dxa"/>
            <w:vAlign w:val="bottom"/>
          </w:tcPr>
          <w:p w14:paraId="3011D226"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13,5</w:t>
            </w:r>
          </w:p>
        </w:tc>
      </w:tr>
      <w:tr w:rsidR="00552563" w:rsidRPr="00552563" w14:paraId="25EBBBF1" w14:textId="77777777" w:rsidTr="008B5944">
        <w:trPr>
          <w:trHeight w:val="241"/>
        </w:trPr>
        <w:tc>
          <w:tcPr>
            <w:tcW w:w="4504" w:type="dxa"/>
            <w:vAlign w:val="bottom"/>
          </w:tcPr>
          <w:p w14:paraId="45B70AAC"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Gỗ và sản phẩm gỗ</w:t>
            </w:r>
          </w:p>
        </w:tc>
        <w:tc>
          <w:tcPr>
            <w:tcW w:w="1887" w:type="dxa"/>
            <w:vAlign w:val="bottom"/>
          </w:tcPr>
          <w:p w14:paraId="1A2150CA"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9.647</w:t>
            </w:r>
          </w:p>
        </w:tc>
        <w:tc>
          <w:tcPr>
            <w:tcW w:w="2614" w:type="dxa"/>
            <w:vAlign w:val="bottom"/>
          </w:tcPr>
          <w:p w14:paraId="0B2502DE"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8,1</w:t>
            </w:r>
          </w:p>
        </w:tc>
      </w:tr>
      <w:tr w:rsidR="00552563" w:rsidRPr="00552563" w14:paraId="22B9D02A" w14:textId="77777777" w:rsidTr="008B5944">
        <w:trPr>
          <w:trHeight w:val="241"/>
        </w:trPr>
        <w:tc>
          <w:tcPr>
            <w:tcW w:w="4504" w:type="dxa"/>
            <w:vAlign w:val="bottom"/>
          </w:tcPr>
          <w:p w14:paraId="5F95D65B"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 xml:space="preserve">Thủy sản </w:t>
            </w:r>
          </w:p>
        </w:tc>
        <w:tc>
          <w:tcPr>
            <w:tcW w:w="1887" w:type="dxa"/>
            <w:vAlign w:val="bottom"/>
          </w:tcPr>
          <w:p w14:paraId="124D37AE"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6.083</w:t>
            </w:r>
          </w:p>
        </w:tc>
        <w:tc>
          <w:tcPr>
            <w:tcW w:w="2614" w:type="dxa"/>
            <w:vAlign w:val="bottom"/>
          </w:tcPr>
          <w:p w14:paraId="375DC0CA"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14,2</w:t>
            </w:r>
          </w:p>
        </w:tc>
      </w:tr>
      <w:tr w:rsidR="00552563" w:rsidRPr="00552563" w14:paraId="6A3A6210" w14:textId="77777777" w:rsidTr="008B5944">
        <w:trPr>
          <w:trHeight w:val="241"/>
        </w:trPr>
        <w:tc>
          <w:tcPr>
            <w:tcW w:w="4504" w:type="dxa"/>
            <w:vAlign w:val="bottom"/>
          </w:tcPr>
          <w:p w14:paraId="4D73995F"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Cà phê</w:t>
            </w:r>
          </w:p>
        </w:tc>
        <w:tc>
          <w:tcPr>
            <w:tcW w:w="1887" w:type="dxa"/>
            <w:vAlign w:val="bottom"/>
          </w:tcPr>
          <w:p w14:paraId="66CFC19A"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5.992</w:t>
            </w:r>
          </w:p>
        </w:tc>
        <w:tc>
          <w:tcPr>
            <w:tcW w:w="2614" w:type="dxa"/>
            <w:vAlign w:val="bottom"/>
          </w:tcPr>
          <w:p w14:paraId="4B4326F5"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64,9</w:t>
            </w:r>
          </w:p>
        </w:tc>
      </w:tr>
    </w:tbl>
    <w:p w14:paraId="5CD0F094" w14:textId="77777777" w:rsidR="00552563" w:rsidRPr="00552563" w:rsidRDefault="00552563" w:rsidP="00552563">
      <w:pPr>
        <w:tabs>
          <w:tab w:val="num" w:pos="0"/>
          <w:tab w:val="left" w:pos="9475"/>
        </w:tabs>
        <w:spacing w:before="40" w:after="40" w:line="264" w:lineRule="auto"/>
        <w:ind w:right="119" w:firstLine="567"/>
        <w:jc w:val="right"/>
        <w:rPr>
          <w:rFonts w:ascii="Arial" w:hAnsi="Arial" w:cs="Arial"/>
          <w:b/>
          <w:bCs/>
          <w:i/>
          <w:iCs/>
          <w:sz w:val="2"/>
          <w:szCs w:val="20"/>
          <w:lang w:val="es-NI"/>
        </w:rPr>
      </w:pPr>
    </w:p>
    <w:p w14:paraId="56AA45C4" w14:textId="77777777" w:rsidR="00552563" w:rsidRPr="00552563" w:rsidRDefault="00552563" w:rsidP="00552563">
      <w:pPr>
        <w:spacing w:before="40" w:after="40" w:line="264" w:lineRule="auto"/>
        <w:rPr>
          <w:rFonts w:eastAsia="Batang"/>
          <w:bCs/>
          <w:i/>
          <w:spacing w:val="-6"/>
          <w:sz w:val="2"/>
        </w:rPr>
      </w:pPr>
    </w:p>
    <w:p w14:paraId="5D434E89" w14:textId="77777777" w:rsidR="00552563" w:rsidRPr="008B5944" w:rsidRDefault="00552563" w:rsidP="00552563">
      <w:pPr>
        <w:spacing w:before="240" w:after="40" w:line="288" w:lineRule="auto"/>
        <w:jc w:val="both"/>
        <w:rPr>
          <w:rFonts w:eastAsia="Batang"/>
          <w:bCs/>
          <w:noProof/>
          <w:spacing w:val="-4"/>
        </w:rPr>
      </w:pPr>
      <w:r w:rsidRPr="008B5944">
        <w:rPr>
          <w:noProof/>
          <w:spacing w:val="-2"/>
        </w:rPr>
        <mc:AlternateContent>
          <mc:Choice Requires="wps">
            <w:drawing>
              <wp:anchor distT="0" distB="0" distL="114300" distR="114300" simplePos="0" relativeHeight="251666432" behindDoc="0" locked="0" layoutInCell="1" allowOverlap="1" wp14:anchorId="54E63138" wp14:editId="1DFB18E6">
                <wp:simplePos x="0" y="0"/>
                <wp:positionH relativeFrom="column">
                  <wp:posOffset>206375</wp:posOffset>
                </wp:positionH>
                <wp:positionV relativeFrom="paragraph">
                  <wp:posOffset>88900</wp:posOffset>
                </wp:positionV>
                <wp:extent cx="3170555" cy="24517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451735"/>
                        </a:xfrm>
                        <a:prstGeom prst="rect">
                          <a:avLst/>
                        </a:prstGeom>
                        <a:solidFill>
                          <a:srgbClr val="FFFFFF"/>
                        </a:solidFill>
                        <a:ln w="9525">
                          <a:noFill/>
                          <a:miter lim="800000"/>
                          <a:headEnd/>
                          <a:tailEnd/>
                        </a:ln>
                      </wps:spPr>
                      <wps:txbx>
                        <w:txbxContent>
                          <w:p w14:paraId="4FE3659D" w14:textId="22A440AB" w:rsidR="008B5944" w:rsidRPr="006822A2" w:rsidRDefault="008B5944" w:rsidP="00552563">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61BE0549" w14:textId="77777777" w:rsidR="008B5944" w:rsidRPr="006822A2" w:rsidRDefault="008B5944" w:rsidP="00552563">
                            <w:pPr>
                              <w:spacing w:after="120"/>
                              <w:jc w:val="center"/>
                              <w:rPr>
                                <w:rFonts w:ascii="Arial" w:hAnsi="Arial" w:cs="Arial"/>
                                <w:b/>
                                <w:bCs/>
                                <w:sz w:val="24"/>
                                <w:szCs w:val="24"/>
                              </w:rPr>
                            </w:pPr>
                            <w:r>
                              <w:rPr>
                                <w:rFonts w:ascii="Arial" w:hAnsi="Arial" w:cs="Arial"/>
                                <w:b/>
                                <w:bCs/>
                                <w:sz w:val="24"/>
                                <w:szCs w:val="24"/>
                              </w:rPr>
                              <w:t xml:space="preserve">7 tháng </w:t>
                            </w:r>
                            <w:r w:rsidRPr="006822A2">
                              <w:rPr>
                                <w:rFonts w:ascii="Arial" w:hAnsi="Arial" w:cs="Arial"/>
                                <w:b/>
                                <w:bCs/>
                                <w:sz w:val="24"/>
                                <w:szCs w:val="24"/>
                              </w:rPr>
                              <w:t>năm 2025</w:t>
                            </w:r>
                          </w:p>
                          <w:p w14:paraId="51DDA5C6" w14:textId="77777777" w:rsidR="008B5944" w:rsidRPr="00271B83" w:rsidRDefault="008B5944" w:rsidP="00552563">
                            <w:pPr>
                              <w:spacing w:before="120" w:after="120"/>
                              <w:ind w:left="-142"/>
                              <w:jc w:val="center"/>
                              <w:rPr>
                                <w:rFonts w:ascii="Arial" w:hAnsi="Arial" w:cs="Arial"/>
                                <w:sz w:val="24"/>
                                <w:szCs w:val="24"/>
                              </w:rPr>
                            </w:pPr>
                            <w:r w:rsidRPr="0078187C">
                              <w:rPr>
                                <w:noProof/>
                              </w:rPr>
                              <w:drawing>
                                <wp:inline distT="0" distB="0" distL="0" distR="0" wp14:anchorId="4E65F2E9" wp14:editId="3824B095">
                                  <wp:extent cx="3089275" cy="1879600"/>
                                  <wp:effectExtent l="0" t="0" r="0" b="6350"/>
                                  <wp:docPr id="1168870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275" cy="187960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54E63138" id="_x0000_t202" coordsize="21600,21600" o:spt="202" path="m,l,21600r21600,l21600,xe">
                <v:stroke joinstyle="miter"/>
                <v:path gradientshapeok="t" o:connecttype="rect"/>
              </v:shapetype>
              <v:shape id="Text Box 2" o:spid="_x0000_s1026" type="#_x0000_t202" style="position:absolute;left:0;text-align:left;margin-left:16.25pt;margin-top:7pt;width:249.65pt;height:19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" stroked="f">
                <v:textbox inset="1mm,1mm,1mm,1mm">
                  <w:txbxContent>
                    <w:p w14:paraId="4FE3659D" w14:textId="22A440AB" w:rsidR="008B5944" w:rsidRPr="006822A2" w:rsidRDefault="008B5944" w:rsidP="00552563">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61BE0549" w14:textId="77777777" w:rsidR="008B5944" w:rsidRPr="006822A2" w:rsidRDefault="008B5944" w:rsidP="00552563">
                      <w:pPr>
                        <w:spacing w:after="120"/>
                        <w:jc w:val="center"/>
                        <w:rPr>
                          <w:rFonts w:ascii="Arial" w:hAnsi="Arial" w:cs="Arial"/>
                          <w:b/>
                          <w:bCs/>
                          <w:sz w:val="24"/>
                          <w:szCs w:val="24"/>
                        </w:rPr>
                      </w:pPr>
                      <w:r>
                        <w:rPr>
                          <w:rFonts w:ascii="Arial" w:hAnsi="Arial" w:cs="Arial"/>
                          <w:b/>
                          <w:bCs/>
                          <w:sz w:val="24"/>
                          <w:szCs w:val="24"/>
                        </w:rPr>
                        <w:t xml:space="preserve">7 tháng </w:t>
                      </w:r>
                      <w:r w:rsidRPr="006822A2">
                        <w:rPr>
                          <w:rFonts w:ascii="Arial" w:hAnsi="Arial" w:cs="Arial"/>
                          <w:b/>
                          <w:bCs/>
                          <w:sz w:val="24"/>
                          <w:szCs w:val="24"/>
                        </w:rPr>
                        <w:t>năm 2025</w:t>
                      </w:r>
                    </w:p>
                    <w:p w14:paraId="51DDA5C6" w14:textId="77777777" w:rsidR="008B5944" w:rsidRPr="00271B83" w:rsidRDefault="008B5944" w:rsidP="00552563">
                      <w:pPr>
                        <w:spacing w:before="120" w:after="120"/>
                        <w:ind w:left="-142"/>
                        <w:jc w:val="center"/>
                        <w:rPr>
                          <w:rFonts w:ascii="Arial" w:hAnsi="Arial" w:cs="Arial"/>
                          <w:sz w:val="24"/>
                          <w:szCs w:val="24"/>
                        </w:rPr>
                      </w:pPr>
                      <w:r w:rsidRPr="0078187C">
                        <w:rPr>
                          <w:noProof/>
                        </w:rPr>
                        <w:drawing>
                          <wp:inline distT="0" distB="0" distL="0" distR="0" wp14:anchorId="4E65F2E9" wp14:editId="3824B095">
                            <wp:extent cx="3089275" cy="1879600"/>
                            <wp:effectExtent l="0" t="0" r="0" b="6350"/>
                            <wp:docPr id="1168870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275" cy="1879600"/>
                                    </a:xfrm>
                                    <a:prstGeom prst="rect">
                                      <a:avLst/>
                                    </a:prstGeom>
                                    <a:noFill/>
                                    <a:ln>
                                      <a:noFill/>
                                    </a:ln>
                                  </pic:spPr>
                                </pic:pic>
                              </a:graphicData>
                            </a:graphic>
                          </wp:inline>
                        </w:drawing>
                      </w:r>
                    </w:p>
                  </w:txbxContent>
                </v:textbox>
                <w10:wrap type="square"/>
              </v:shape>
            </w:pict>
          </mc:Fallback>
        </mc:AlternateContent>
      </w:r>
      <w:r w:rsidRPr="00552563">
        <w:rPr>
          <w:rFonts w:eastAsia="Batang"/>
          <w:bCs/>
          <w:i/>
          <w:noProof/>
          <w:spacing w:val="-2"/>
        </w:rPr>
        <w:t xml:space="preserve"> </w:t>
      </w:r>
      <w:r w:rsidRPr="008B5944">
        <w:rPr>
          <w:rFonts w:eastAsia="Batang"/>
          <w:bCs/>
          <w:i/>
          <w:noProof/>
          <w:spacing w:val="-4"/>
        </w:rPr>
        <w:t xml:space="preserve">Về cơ cấu nhóm hàng xuất khẩu bảy tháng năm 2025, </w:t>
      </w:r>
      <w:r w:rsidRPr="008B5944">
        <w:rPr>
          <w:rFonts w:eastAsia="Batang"/>
          <w:bCs/>
          <w:noProof/>
          <w:spacing w:val="-4"/>
        </w:rPr>
        <w:t>nhóm hàng công nghiệp chế biến đạt 232,37 tỷ USD, chiếm 88,6%; nhóm hàng nông sản, lâm sản đạt 22,4 tỷ USD, chiếm 8,5%; nhóm hàng thủy sản đạt 6,08 tỷ USD, chiếm 2,3%; nhóm hàng nhiên liệu và khoáng sản đạt 1,59 tỷ USD, chiếm 0,6%.</w:t>
      </w:r>
    </w:p>
    <w:p w14:paraId="7A28D1E8" w14:textId="77777777" w:rsidR="00552563" w:rsidRPr="00552563" w:rsidRDefault="00552563" w:rsidP="008B5944">
      <w:pPr>
        <w:tabs>
          <w:tab w:val="left" w:pos="900"/>
          <w:tab w:val="left" w:pos="9475"/>
        </w:tabs>
        <w:spacing w:after="120" w:line="276" w:lineRule="auto"/>
        <w:ind w:right="6" w:firstLine="720"/>
        <w:jc w:val="both"/>
        <w:rPr>
          <w:b/>
          <w:bCs/>
          <w:i/>
          <w:iCs/>
          <w:lang w:val="de-DE"/>
        </w:rPr>
      </w:pPr>
      <w:r w:rsidRPr="00552563">
        <w:rPr>
          <w:b/>
          <w:bCs/>
          <w:i/>
          <w:iCs/>
          <w:lang w:val="de-DE"/>
        </w:rPr>
        <w:t>Nhập khẩu hàng hóa</w:t>
      </w:r>
    </w:p>
    <w:p w14:paraId="0B099FF4" w14:textId="77777777" w:rsidR="00552563" w:rsidRPr="00552563" w:rsidRDefault="00552563" w:rsidP="008B5944">
      <w:pPr>
        <w:tabs>
          <w:tab w:val="num" w:pos="0"/>
          <w:tab w:val="left" w:pos="9475"/>
        </w:tabs>
        <w:spacing w:after="120" w:line="276" w:lineRule="auto"/>
        <w:ind w:right="6" w:firstLine="720"/>
        <w:jc w:val="both"/>
        <w:rPr>
          <w:bCs/>
          <w:lang w:val="de-DE"/>
        </w:rPr>
      </w:pPr>
      <w:r w:rsidRPr="00552563">
        <w:rPr>
          <w:bCs/>
          <w:lang w:val="de-DE"/>
        </w:rPr>
        <w:t>Kim ngạch nhập khẩu hàng hóa tháng 6/2025 đạt 36,66 tỷ USD</w:t>
      </w:r>
      <w:r w:rsidRPr="00552563">
        <w:rPr>
          <w:bCs/>
          <w:vertAlign w:val="superscript"/>
          <w:lang w:val="de-DE"/>
        </w:rPr>
        <w:footnoteReference w:id="17"/>
      </w:r>
      <w:r w:rsidRPr="00552563">
        <w:rPr>
          <w:bCs/>
          <w:lang w:val="de-DE"/>
        </w:rPr>
        <w:t>.</w:t>
      </w:r>
    </w:p>
    <w:p w14:paraId="0B4A120F" w14:textId="77777777" w:rsidR="00552563" w:rsidRPr="008B5944" w:rsidRDefault="00552563" w:rsidP="008B5944">
      <w:pPr>
        <w:tabs>
          <w:tab w:val="num" w:pos="0"/>
          <w:tab w:val="left" w:pos="9475"/>
        </w:tabs>
        <w:spacing w:after="120" w:line="276" w:lineRule="auto"/>
        <w:ind w:right="6" w:firstLine="720"/>
        <w:jc w:val="both"/>
        <w:rPr>
          <w:lang w:val="de-DE"/>
        </w:rPr>
      </w:pPr>
      <w:r w:rsidRPr="008B5944">
        <w:rPr>
          <w:bCs/>
          <w:lang w:val="de-DE"/>
        </w:rPr>
        <w:t xml:space="preserve">Kim ngạch nhập khẩu hàng hóa tháng Bảy đạt 40,0 tỷ USD, tăng 9,1% so với tháng trước. Trong đó, khu vực kinh tế trong nước đạt 11,29 tỷ USD, tăng 4,6%; khu vực có vốn đầu tư nước ngoài đạt 28,71 tỷ USD, tăng 11,0%. </w:t>
      </w:r>
      <w:r w:rsidRPr="008B5944">
        <w:rPr>
          <w:lang w:val="de-DE"/>
        </w:rPr>
        <w:t>So với cùng kỳ năm trước, kim ngạch nhập khẩu hàng hóa tháng Bảy tăng 17,8%, trong đó khu vực kinh tế trong nước giảm 5,0%; khu vực có vốn đầu tư nước ngoài tăng 30,0%.</w:t>
      </w:r>
    </w:p>
    <w:p w14:paraId="33A388B1" w14:textId="77777777" w:rsidR="00552563" w:rsidRPr="00552563" w:rsidRDefault="00552563" w:rsidP="008B5944">
      <w:pPr>
        <w:tabs>
          <w:tab w:val="num" w:pos="0"/>
          <w:tab w:val="left" w:pos="9475"/>
        </w:tabs>
        <w:spacing w:after="120" w:line="276" w:lineRule="auto"/>
        <w:ind w:right="6" w:firstLine="720"/>
        <w:jc w:val="both"/>
        <w:rPr>
          <w:bCs/>
          <w:lang w:val="de-DE"/>
        </w:rPr>
      </w:pPr>
      <w:bookmarkStart w:id="2" w:name="_Hlk181359968"/>
      <w:r w:rsidRPr="00552563">
        <w:rPr>
          <w:lang w:val="de-DE"/>
        </w:rPr>
        <w:t>Tính chung bảy tháng năm 2025, kim ngạch nhập khẩu hàng hóa đạt 252,26 tỷ USD, tăng 17,9% so với cùng kỳ năm trước</w:t>
      </w:r>
      <w:r w:rsidRPr="00552563">
        <w:rPr>
          <w:bCs/>
          <w:lang w:val="de-DE"/>
        </w:rPr>
        <w:t>, trong đó khu vực kinh tế trong nước đạt 84,07 tỷ USD, tăng 8,0%; khu vực có vốn đầu tư nước ngoài đạt 168,19 tỷ USD, tăng 23,6%.</w:t>
      </w:r>
      <w:bookmarkEnd w:id="2"/>
      <w:r w:rsidRPr="00552563">
        <w:rPr>
          <w:bCs/>
          <w:lang w:val="de-DE"/>
        </w:rPr>
        <w:t xml:space="preserve"> </w:t>
      </w:r>
    </w:p>
    <w:p w14:paraId="23BFAD78" w14:textId="77777777" w:rsidR="00552563" w:rsidRPr="00552563" w:rsidRDefault="00552563" w:rsidP="008B5944">
      <w:pPr>
        <w:tabs>
          <w:tab w:val="left" w:pos="9475"/>
        </w:tabs>
        <w:spacing w:after="120" w:line="276" w:lineRule="auto"/>
        <w:ind w:right="6" w:firstLine="720"/>
        <w:jc w:val="both"/>
        <w:rPr>
          <w:lang w:val="de-DE"/>
        </w:rPr>
      </w:pPr>
      <w:r w:rsidRPr="00552563">
        <w:rPr>
          <w:lang w:val="de-DE"/>
        </w:rPr>
        <w:t>Trong bảy tháng năm 2025 c</w:t>
      </w:r>
      <w:r w:rsidRPr="008B5944">
        <w:rPr>
          <w:lang w:val="de-DE"/>
        </w:rPr>
        <w:t>ó 36 mặt hàng nhập khẩu đạt trị giá trên 1 tỷ USD, chiếm tỷ trọng 90,5% tổng kim ngạch nhập khẩu</w:t>
      </w:r>
      <w:r w:rsidRPr="00552563">
        <w:rPr>
          <w:b/>
          <w:bCs/>
          <w:lang w:val="de-DE"/>
        </w:rPr>
        <w:t xml:space="preserve"> </w:t>
      </w:r>
      <w:r w:rsidRPr="00552563">
        <w:rPr>
          <w:bCs/>
          <w:lang w:val="de-DE"/>
        </w:rPr>
        <w:t>(có 9 mặt hàng nhập khẩu trên 5 tỷ USD, chiếm 64,1%)</w:t>
      </w:r>
      <w:r w:rsidRPr="008B5944">
        <w:rPr>
          <w:lang w:val="de-DE"/>
        </w:rPr>
        <w:t>.</w:t>
      </w:r>
    </w:p>
    <w:p w14:paraId="0B6E8CCB" w14:textId="2931A41B" w:rsidR="00552563" w:rsidRPr="00552563" w:rsidRDefault="00552563" w:rsidP="00552563">
      <w:pPr>
        <w:tabs>
          <w:tab w:val="left" w:pos="9475"/>
        </w:tabs>
        <w:spacing w:before="120" w:after="120"/>
        <w:ind w:right="6"/>
        <w:jc w:val="center"/>
        <w:rPr>
          <w:rFonts w:ascii="Arial" w:hAnsi="Arial" w:cs="Arial"/>
          <w:b/>
          <w:bCs/>
          <w:sz w:val="24"/>
          <w:szCs w:val="24"/>
          <w:lang w:val="de-DE"/>
        </w:rPr>
      </w:pPr>
      <w:r w:rsidRPr="00552563">
        <w:rPr>
          <w:rFonts w:ascii="Arial" w:hAnsi="Arial" w:cs="Arial"/>
          <w:b/>
          <w:spacing w:val="-2"/>
          <w:sz w:val="24"/>
          <w:szCs w:val="20"/>
          <w:lang w:val="pl-PL"/>
        </w:rPr>
        <w:lastRenderedPageBreak/>
        <w:t xml:space="preserve">Biểu </w:t>
      </w:r>
      <w:r w:rsidR="00460807">
        <w:rPr>
          <w:rFonts w:ascii="Arial" w:hAnsi="Arial" w:cs="Arial"/>
          <w:b/>
          <w:spacing w:val="-2"/>
          <w:sz w:val="24"/>
          <w:szCs w:val="20"/>
          <w:lang w:val="pl-PL"/>
        </w:rPr>
        <w:t>5</w:t>
      </w:r>
      <w:r w:rsidRPr="00552563">
        <w:rPr>
          <w:rFonts w:ascii="Arial" w:hAnsi="Arial" w:cs="Arial"/>
          <w:b/>
          <w:spacing w:val="-2"/>
          <w:sz w:val="24"/>
          <w:szCs w:val="20"/>
          <w:lang w:val="pl-PL"/>
        </w:rPr>
        <w:t>. Giá trị</w:t>
      </w:r>
      <w:r w:rsidRPr="00552563">
        <w:rPr>
          <w:rFonts w:ascii="Arial" w:hAnsi="Arial" w:cs="Arial"/>
          <w:b/>
          <w:bCs/>
          <w:sz w:val="24"/>
          <w:szCs w:val="24"/>
          <w:lang w:val="de-DE"/>
        </w:rPr>
        <w:t xml:space="preserve"> một số mặt hàng nhập khẩu 7 tháng năm 2025</w:t>
      </w:r>
    </w:p>
    <w:p w14:paraId="2B1C0411" w14:textId="77777777" w:rsidR="00552563" w:rsidRPr="00552563" w:rsidRDefault="00552563" w:rsidP="00552563">
      <w:pPr>
        <w:tabs>
          <w:tab w:val="left" w:pos="9475"/>
        </w:tabs>
        <w:spacing w:before="40" w:after="40" w:line="264" w:lineRule="auto"/>
        <w:ind w:right="6"/>
        <w:jc w:val="center"/>
        <w:rPr>
          <w:rFonts w:ascii="Arial" w:hAnsi="Arial" w:cs="Arial"/>
          <w:b/>
          <w:bCs/>
          <w:sz w:val="8"/>
          <w:szCs w:val="24"/>
          <w:lang w:val="de-DE"/>
        </w:rPr>
      </w:pPr>
    </w:p>
    <w:tbl>
      <w:tblPr>
        <w:tblStyle w:val="TableGrid3"/>
        <w:tblW w:w="89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2"/>
        <w:gridCol w:w="48"/>
        <w:gridCol w:w="1784"/>
        <w:gridCol w:w="68"/>
        <w:gridCol w:w="2469"/>
        <w:gridCol w:w="239"/>
      </w:tblGrid>
      <w:tr w:rsidR="00552563" w:rsidRPr="00552563" w14:paraId="631FCC3F" w14:textId="77777777" w:rsidTr="008B5944">
        <w:trPr>
          <w:gridAfter w:val="1"/>
          <w:wAfter w:w="239" w:type="dxa"/>
          <w:trHeight w:val="490"/>
        </w:trPr>
        <w:tc>
          <w:tcPr>
            <w:tcW w:w="4372" w:type="dxa"/>
          </w:tcPr>
          <w:p w14:paraId="6CD4BC1E" w14:textId="77777777" w:rsidR="00552563" w:rsidRPr="00552563" w:rsidRDefault="00552563" w:rsidP="008B5944">
            <w:pPr>
              <w:tabs>
                <w:tab w:val="num" w:pos="0"/>
                <w:tab w:val="left" w:pos="9475"/>
              </w:tabs>
              <w:ind w:right="119"/>
              <w:jc w:val="right"/>
              <w:rPr>
                <w:rFonts w:ascii="Arial" w:hAnsi="Arial" w:cs="Arial"/>
                <w:b/>
                <w:bCs/>
                <w:i/>
                <w:iCs/>
                <w:sz w:val="20"/>
                <w:szCs w:val="20"/>
                <w:lang w:val="es-NI"/>
              </w:rPr>
            </w:pPr>
          </w:p>
          <w:p w14:paraId="3841B0BA" w14:textId="77777777" w:rsidR="00552563" w:rsidRPr="00552563" w:rsidRDefault="00552563" w:rsidP="008B5944">
            <w:pPr>
              <w:tabs>
                <w:tab w:val="num" w:pos="0"/>
                <w:tab w:val="left" w:pos="9475"/>
              </w:tabs>
              <w:ind w:right="119"/>
              <w:jc w:val="right"/>
              <w:rPr>
                <w:rFonts w:ascii="Arial" w:hAnsi="Arial" w:cs="Arial"/>
                <w:b/>
                <w:bCs/>
                <w:i/>
                <w:iCs/>
                <w:sz w:val="20"/>
                <w:szCs w:val="20"/>
                <w:lang w:val="es-NI"/>
              </w:rPr>
            </w:pPr>
          </w:p>
        </w:tc>
        <w:tc>
          <w:tcPr>
            <w:tcW w:w="1832" w:type="dxa"/>
            <w:gridSpan w:val="2"/>
            <w:tcBorders>
              <w:top w:val="single" w:sz="4" w:space="0" w:color="auto"/>
              <w:bottom w:val="single" w:sz="4" w:space="0" w:color="auto"/>
            </w:tcBorders>
          </w:tcPr>
          <w:p w14:paraId="4B25A3B7" w14:textId="77777777" w:rsidR="00552563" w:rsidRPr="00552563" w:rsidRDefault="00552563" w:rsidP="008B5944">
            <w:pPr>
              <w:jc w:val="center"/>
              <w:rPr>
                <w:rFonts w:ascii="Arial" w:hAnsi="Arial" w:cs="Arial"/>
                <w:sz w:val="20"/>
                <w:szCs w:val="20"/>
                <w:lang w:val="es-NI"/>
              </w:rPr>
            </w:pPr>
            <w:r w:rsidRPr="00552563">
              <w:rPr>
                <w:rFonts w:ascii="Arial" w:hAnsi="Arial" w:cs="Arial"/>
                <w:sz w:val="20"/>
                <w:szCs w:val="20"/>
                <w:lang w:val="es-NI"/>
              </w:rPr>
              <w:t>Giá trị</w:t>
            </w:r>
          </w:p>
          <w:p w14:paraId="7E067CA4" w14:textId="77777777" w:rsidR="00552563" w:rsidRPr="00552563" w:rsidRDefault="00552563" w:rsidP="008B5944">
            <w:pPr>
              <w:jc w:val="center"/>
              <w:rPr>
                <w:rFonts w:ascii="Arial" w:hAnsi="Arial" w:cs="Arial"/>
                <w:b/>
                <w:bCs/>
                <w:i/>
                <w:iCs/>
                <w:sz w:val="20"/>
                <w:szCs w:val="20"/>
                <w:lang w:val="es-NI"/>
              </w:rPr>
            </w:pPr>
            <w:r w:rsidRPr="00552563">
              <w:rPr>
                <w:rFonts w:ascii="Arial" w:hAnsi="Arial" w:cs="Arial"/>
                <w:i/>
                <w:iCs/>
                <w:sz w:val="20"/>
                <w:szCs w:val="20"/>
                <w:lang w:val="es-NI"/>
              </w:rPr>
              <w:t>(Triệu USD)</w:t>
            </w:r>
          </w:p>
        </w:tc>
        <w:tc>
          <w:tcPr>
            <w:tcW w:w="2537" w:type="dxa"/>
            <w:gridSpan w:val="2"/>
            <w:tcBorders>
              <w:top w:val="single" w:sz="4" w:space="0" w:color="auto"/>
              <w:bottom w:val="single" w:sz="4" w:space="0" w:color="auto"/>
            </w:tcBorders>
          </w:tcPr>
          <w:p w14:paraId="59E8A5A0" w14:textId="77777777" w:rsidR="00552563" w:rsidRPr="00552563" w:rsidRDefault="00552563" w:rsidP="008B5944">
            <w:pPr>
              <w:jc w:val="center"/>
              <w:rPr>
                <w:rFonts w:ascii="Arial" w:hAnsi="Arial" w:cs="Arial"/>
                <w:sz w:val="20"/>
                <w:szCs w:val="20"/>
                <w:lang w:val="es-NI"/>
              </w:rPr>
            </w:pPr>
            <w:r w:rsidRPr="00552563">
              <w:rPr>
                <w:rFonts w:ascii="Arial" w:hAnsi="Arial" w:cs="Arial"/>
                <w:sz w:val="20"/>
                <w:szCs w:val="20"/>
                <w:lang w:val="es-NI"/>
              </w:rPr>
              <w:t>Tốc độ tăng/giảm so với</w:t>
            </w:r>
          </w:p>
          <w:p w14:paraId="4D26C351" w14:textId="77777777" w:rsidR="00552563" w:rsidRPr="00552563" w:rsidRDefault="00552563" w:rsidP="008B5944">
            <w:pPr>
              <w:jc w:val="center"/>
              <w:rPr>
                <w:rFonts w:ascii="Arial" w:hAnsi="Arial" w:cs="Arial"/>
                <w:b/>
                <w:bCs/>
                <w:i/>
                <w:iCs/>
                <w:sz w:val="20"/>
                <w:szCs w:val="20"/>
              </w:rPr>
            </w:pPr>
            <w:r w:rsidRPr="00552563">
              <w:rPr>
                <w:rFonts w:ascii="Arial" w:hAnsi="Arial" w:cs="Arial"/>
                <w:sz w:val="20"/>
                <w:szCs w:val="20"/>
              </w:rPr>
              <w:t xml:space="preserve">cùng kỳ năm trước </w:t>
            </w:r>
            <w:r w:rsidRPr="00552563">
              <w:rPr>
                <w:rFonts w:ascii="Arial" w:hAnsi="Arial" w:cs="Arial"/>
                <w:i/>
                <w:iCs/>
                <w:sz w:val="20"/>
                <w:szCs w:val="20"/>
              </w:rPr>
              <w:t>(%)</w:t>
            </w:r>
          </w:p>
        </w:tc>
      </w:tr>
      <w:tr w:rsidR="00552563" w:rsidRPr="00552563" w14:paraId="20FDF1BC" w14:textId="77777777" w:rsidTr="008B5944">
        <w:tblPrEx>
          <w:tblBorders>
            <w:bottom w:val="none" w:sz="0" w:space="0" w:color="auto"/>
          </w:tblBorders>
        </w:tblPrEx>
        <w:trPr>
          <w:trHeight w:val="422"/>
        </w:trPr>
        <w:tc>
          <w:tcPr>
            <w:tcW w:w="4420" w:type="dxa"/>
            <w:gridSpan w:val="2"/>
            <w:vAlign w:val="bottom"/>
          </w:tcPr>
          <w:p w14:paraId="55EB7436" w14:textId="77777777" w:rsidR="00552563" w:rsidRPr="00552563" w:rsidRDefault="00552563" w:rsidP="008B5944">
            <w:pPr>
              <w:rPr>
                <w:rFonts w:ascii="Arial" w:hAnsi="Arial" w:cs="Arial"/>
                <w:b/>
                <w:bCs/>
                <w:sz w:val="20"/>
                <w:szCs w:val="20"/>
              </w:rPr>
            </w:pPr>
            <w:r w:rsidRPr="00552563">
              <w:rPr>
                <w:rFonts w:ascii="Arial" w:hAnsi="Arial" w:cs="Arial"/>
                <w:b/>
                <w:bCs/>
                <w:sz w:val="20"/>
                <w:szCs w:val="20"/>
              </w:rPr>
              <w:t>Các mặt hàng đạt giá trị trên 5 tỷ USD</w:t>
            </w:r>
          </w:p>
        </w:tc>
        <w:tc>
          <w:tcPr>
            <w:tcW w:w="1852" w:type="dxa"/>
            <w:gridSpan w:val="2"/>
            <w:tcBorders>
              <w:top w:val="single" w:sz="4" w:space="0" w:color="auto"/>
            </w:tcBorders>
          </w:tcPr>
          <w:p w14:paraId="44D627F7" w14:textId="77777777" w:rsidR="00552563" w:rsidRPr="00552563" w:rsidRDefault="00552563" w:rsidP="008B5944">
            <w:pPr>
              <w:tabs>
                <w:tab w:val="num" w:pos="0"/>
                <w:tab w:val="left" w:pos="9475"/>
              </w:tabs>
              <w:ind w:right="119"/>
              <w:jc w:val="right"/>
              <w:rPr>
                <w:rFonts w:ascii="Arial" w:hAnsi="Arial" w:cs="Arial"/>
                <w:b/>
                <w:bCs/>
                <w:i/>
                <w:iCs/>
                <w:sz w:val="20"/>
                <w:szCs w:val="20"/>
              </w:rPr>
            </w:pPr>
          </w:p>
        </w:tc>
        <w:tc>
          <w:tcPr>
            <w:tcW w:w="2708" w:type="dxa"/>
            <w:gridSpan w:val="2"/>
            <w:tcBorders>
              <w:top w:val="single" w:sz="4" w:space="0" w:color="auto"/>
            </w:tcBorders>
          </w:tcPr>
          <w:p w14:paraId="66C7FB3B" w14:textId="77777777" w:rsidR="00552563" w:rsidRPr="00552563" w:rsidRDefault="00552563" w:rsidP="008B5944">
            <w:pPr>
              <w:tabs>
                <w:tab w:val="num" w:pos="0"/>
                <w:tab w:val="left" w:pos="9475"/>
              </w:tabs>
              <w:ind w:right="119"/>
              <w:jc w:val="right"/>
              <w:rPr>
                <w:rFonts w:ascii="Arial" w:hAnsi="Arial" w:cs="Arial"/>
                <w:b/>
                <w:bCs/>
                <w:i/>
                <w:iCs/>
                <w:sz w:val="20"/>
                <w:szCs w:val="20"/>
              </w:rPr>
            </w:pPr>
          </w:p>
        </w:tc>
      </w:tr>
      <w:tr w:rsidR="00552563" w:rsidRPr="00552563" w14:paraId="78F896D2" w14:textId="77777777" w:rsidTr="008B5944">
        <w:trPr>
          <w:gridAfter w:val="1"/>
          <w:wAfter w:w="239" w:type="dxa"/>
          <w:trHeight w:val="250"/>
        </w:trPr>
        <w:tc>
          <w:tcPr>
            <w:tcW w:w="4372" w:type="dxa"/>
            <w:vAlign w:val="bottom"/>
          </w:tcPr>
          <w:p w14:paraId="492F70F8"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Điện tử, máy tính và linh kiện</w:t>
            </w:r>
          </w:p>
        </w:tc>
        <w:tc>
          <w:tcPr>
            <w:tcW w:w="1832" w:type="dxa"/>
            <w:gridSpan w:val="2"/>
            <w:vAlign w:val="bottom"/>
          </w:tcPr>
          <w:p w14:paraId="3C0DB25C"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81.785</w:t>
            </w:r>
          </w:p>
        </w:tc>
        <w:tc>
          <w:tcPr>
            <w:tcW w:w="2537" w:type="dxa"/>
            <w:gridSpan w:val="2"/>
            <w:vAlign w:val="bottom"/>
          </w:tcPr>
          <w:p w14:paraId="74804C36"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37,2</w:t>
            </w:r>
          </w:p>
        </w:tc>
      </w:tr>
      <w:tr w:rsidR="00552563" w:rsidRPr="00552563" w14:paraId="701C512D" w14:textId="77777777" w:rsidTr="008B5944">
        <w:trPr>
          <w:gridAfter w:val="1"/>
          <w:wAfter w:w="239" w:type="dxa"/>
          <w:trHeight w:val="250"/>
        </w:trPr>
        <w:tc>
          <w:tcPr>
            <w:tcW w:w="4372" w:type="dxa"/>
            <w:vAlign w:val="bottom"/>
          </w:tcPr>
          <w:p w14:paraId="73BEE302"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Máy móc, thiết bị, dụng cụ, phụ tùng khác</w:t>
            </w:r>
          </w:p>
        </w:tc>
        <w:tc>
          <w:tcPr>
            <w:tcW w:w="1832" w:type="dxa"/>
            <w:gridSpan w:val="2"/>
            <w:vAlign w:val="bottom"/>
          </w:tcPr>
          <w:p w14:paraId="7D17B324"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33.488</w:t>
            </w:r>
          </w:p>
        </w:tc>
        <w:tc>
          <w:tcPr>
            <w:tcW w:w="2537" w:type="dxa"/>
            <w:gridSpan w:val="2"/>
            <w:vAlign w:val="bottom"/>
          </w:tcPr>
          <w:p w14:paraId="1140702E"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24,5</w:t>
            </w:r>
          </w:p>
        </w:tc>
      </w:tr>
      <w:tr w:rsidR="00552563" w:rsidRPr="00552563" w14:paraId="1E6855F3" w14:textId="77777777" w:rsidTr="008B5944">
        <w:trPr>
          <w:gridAfter w:val="1"/>
          <w:wAfter w:w="239" w:type="dxa"/>
          <w:trHeight w:val="239"/>
        </w:trPr>
        <w:tc>
          <w:tcPr>
            <w:tcW w:w="4372" w:type="dxa"/>
            <w:vAlign w:val="bottom"/>
          </w:tcPr>
          <w:p w14:paraId="09631B98"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Vải</w:t>
            </w:r>
          </w:p>
        </w:tc>
        <w:tc>
          <w:tcPr>
            <w:tcW w:w="1832" w:type="dxa"/>
            <w:gridSpan w:val="2"/>
            <w:vAlign w:val="bottom"/>
          </w:tcPr>
          <w:p w14:paraId="3A264D97"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8.754</w:t>
            </w:r>
          </w:p>
        </w:tc>
        <w:tc>
          <w:tcPr>
            <w:tcW w:w="2537" w:type="dxa"/>
            <w:gridSpan w:val="2"/>
            <w:vAlign w:val="bottom"/>
          </w:tcPr>
          <w:p w14:paraId="6A7B7C9C"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3,2</w:t>
            </w:r>
          </w:p>
        </w:tc>
      </w:tr>
      <w:tr w:rsidR="00552563" w:rsidRPr="00552563" w14:paraId="1721E2AA" w14:textId="77777777" w:rsidTr="008B5944">
        <w:trPr>
          <w:gridAfter w:val="1"/>
          <w:wAfter w:w="239" w:type="dxa"/>
          <w:trHeight w:val="250"/>
        </w:trPr>
        <w:tc>
          <w:tcPr>
            <w:tcW w:w="4372" w:type="dxa"/>
            <w:vAlign w:val="bottom"/>
          </w:tcPr>
          <w:p w14:paraId="23B6069F"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 xml:space="preserve">Chất dẻo </w:t>
            </w:r>
          </w:p>
        </w:tc>
        <w:tc>
          <w:tcPr>
            <w:tcW w:w="1832" w:type="dxa"/>
            <w:gridSpan w:val="2"/>
            <w:vAlign w:val="bottom"/>
          </w:tcPr>
          <w:p w14:paraId="1928D635"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7.325</w:t>
            </w:r>
          </w:p>
        </w:tc>
        <w:tc>
          <w:tcPr>
            <w:tcW w:w="2537" w:type="dxa"/>
            <w:gridSpan w:val="2"/>
            <w:vAlign w:val="bottom"/>
          </w:tcPr>
          <w:p w14:paraId="4EAE7DEE"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11,6</w:t>
            </w:r>
          </w:p>
        </w:tc>
      </w:tr>
      <w:tr w:rsidR="00552563" w:rsidRPr="00552563" w14:paraId="04698F51" w14:textId="77777777" w:rsidTr="008B5944">
        <w:trPr>
          <w:gridAfter w:val="1"/>
          <w:wAfter w:w="239" w:type="dxa"/>
          <w:trHeight w:val="239"/>
        </w:trPr>
        <w:tc>
          <w:tcPr>
            <w:tcW w:w="4372" w:type="dxa"/>
            <w:vAlign w:val="bottom"/>
          </w:tcPr>
          <w:p w14:paraId="0A014703"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Kim loại thường khác</w:t>
            </w:r>
          </w:p>
        </w:tc>
        <w:tc>
          <w:tcPr>
            <w:tcW w:w="1832" w:type="dxa"/>
            <w:gridSpan w:val="2"/>
            <w:vAlign w:val="bottom"/>
          </w:tcPr>
          <w:p w14:paraId="6E0DFADB"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6.377</w:t>
            </w:r>
          </w:p>
        </w:tc>
        <w:tc>
          <w:tcPr>
            <w:tcW w:w="2537" w:type="dxa"/>
            <w:gridSpan w:val="2"/>
            <w:vAlign w:val="bottom"/>
          </w:tcPr>
          <w:p w14:paraId="295D8950"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17,4</w:t>
            </w:r>
          </w:p>
        </w:tc>
      </w:tr>
      <w:tr w:rsidR="00552563" w:rsidRPr="00552563" w14:paraId="7719314B" w14:textId="77777777" w:rsidTr="008B5944">
        <w:trPr>
          <w:gridAfter w:val="1"/>
          <w:wAfter w:w="239" w:type="dxa"/>
          <w:trHeight w:val="250"/>
        </w:trPr>
        <w:tc>
          <w:tcPr>
            <w:tcW w:w="4372" w:type="dxa"/>
            <w:vAlign w:val="bottom"/>
          </w:tcPr>
          <w:p w14:paraId="60ABD451"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 xml:space="preserve">Sắt thép </w:t>
            </w:r>
          </w:p>
        </w:tc>
        <w:tc>
          <w:tcPr>
            <w:tcW w:w="1832" w:type="dxa"/>
            <w:gridSpan w:val="2"/>
            <w:vAlign w:val="bottom"/>
          </w:tcPr>
          <w:p w14:paraId="3AFD029D"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6.230</w:t>
            </w:r>
          </w:p>
        </w:tc>
        <w:tc>
          <w:tcPr>
            <w:tcW w:w="2537" w:type="dxa"/>
            <w:gridSpan w:val="2"/>
            <w:vAlign w:val="bottom"/>
          </w:tcPr>
          <w:p w14:paraId="175A1D0D"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-9,6</w:t>
            </w:r>
          </w:p>
        </w:tc>
      </w:tr>
      <w:tr w:rsidR="00552563" w:rsidRPr="00552563" w14:paraId="5BE5BE72" w14:textId="77777777" w:rsidTr="008B5944">
        <w:trPr>
          <w:gridAfter w:val="1"/>
          <w:wAfter w:w="239" w:type="dxa"/>
          <w:trHeight w:val="250"/>
        </w:trPr>
        <w:tc>
          <w:tcPr>
            <w:tcW w:w="4372" w:type="dxa"/>
            <w:vAlign w:val="bottom"/>
          </w:tcPr>
          <w:p w14:paraId="1C850595"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Sản phẩm chất dẻo</w:t>
            </w:r>
          </w:p>
        </w:tc>
        <w:tc>
          <w:tcPr>
            <w:tcW w:w="1832" w:type="dxa"/>
            <w:gridSpan w:val="2"/>
            <w:vAlign w:val="bottom"/>
          </w:tcPr>
          <w:p w14:paraId="3633D802"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5.933</w:t>
            </w:r>
          </w:p>
        </w:tc>
        <w:tc>
          <w:tcPr>
            <w:tcW w:w="2537" w:type="dxa"/>
            <w:gridSpan w:val="2"/>
            <w:vAlign w:val="bottom"/>
          </w:tcPr>
          <w:p w14:paraId="7DF28503"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19,7</w:t>
            </w:r>
          </w:p>
        </w:tc>
      </w:tr>
      <w:tr w:rsidR="00552563" w:rsidRPr="00552563" w14:paraId="4E0E6E6C" w14:textId="77777777" w:rsidTr="008B5944">
        <w:trPr>
          <w:gridAfter w:val="1"/>
          <w:wAfter w:w="239" w:type="dxa"/>
          <w:trHeight w:val="239"/>
        </w:trPr>
        <w:tc>
          <w:tcPr>
            <w:tcW w:w="4372" w:type="dxa"/>
            <w:vAlign w:val="bottom"/>
          </w:tcPr>
          <w:p w14:paraId="17C80D15"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Điện thoại các loại và linh kiện</w:t>
            </w:r>
          </w:p>
        </w:tc>
        <w:tc>
          <w:tcPr>
            <w:tcW w:w="1832" w:type="dxa"/>
            <w:gridSpan w:val="2"/>
            <w:vAlign w:val="bottom"/>
          </w:tcPr>
          <w:p w14:paraId="70AAA728"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5.877</w:t>
            </w:r>
          </w:p>
        </w:tc>
        <w:tc>
          <w:tcPr>
            <w:tcW w:w="2537" w:type="dxa"/>
            <w:gridSpan w:val="2"/>
            <w:vAlign w:val="bottom"/>
          </w:tcPr>
          <w:p w14:paraId="5DDBA323"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8,2</w:t>
            </w:r>
          </w:p>
        </w:tc>
      </w:tr>
      <w:tr w:rsidR="00552563" w:rsidRPr="00552563" w14:paraId="4F9FFFA7" w14:textId="77777777" w:rsidTr="008B5944">
        <w:trPr>
          <w:gridAfter w:val="1"/>
          <w:wAfter w:w="239" w:type="dxa"/>
          <w:trHeight w:val="250"/>
        </w:trPr>
        <w:tc>
          <w:tcPr>
            <w:tcW w:w="4372" w:type="dxa"/>
            <w:vAlign w:val="bottom"/>
          </w:tcPr>
          <w:p w14:paraId="1AAF16FA" w14:textId="77777777" w:rsidR="00552563" w:rsidRPr="00552563" w:rsidRDefault="00552563" w:rsidP="008B5944">
            <w:pPr>
              <w:ind w:firstLine="170"/>
              <w:rPr>
                <w:rFonts w:ascii="Arial" w:hAnsi="Arial" w:cs="Arial"/>
                <w:sz w:val="20"/>
                <w:szCs w:val="20"/>
              </w:rPr>
            </w:pPr>
            <w:r w:rsidRPr="00552563">
              <w:rPr>
                <w:rFonts w:ascii="Arial" w:hAnsi="Arial" w:cs="Arial"/>
                <w:sz w:val="20"/>
                <w:szCs w:val="20"/>
              </w:rPr>
              <w:t>Ô tô</w:t>
            </w:r>
          </w:p>
        </w:tc>
        <w:tc>
          <w:tcPr>
            <w:tcW w:w="1832" w:type="dxa"/>
            <w:gridSpan w:val="2"/>
            <w:vAlign w:val="bottom"/>
          </w:tcPr>
          <w:p w14:paraId="4A114452" w14:textId="77777777" w:rsidR="00552563" w:rsidRPr="00552563" w:rsidRDefault="00552563" w:rsidP="008B5944">
            <w:pPr>
              <w:ind w:right="456" w:firstLine="170"/>
              <w:jc w:val="right"/>
              <w:rPr>
                <w:rFonts w:ascii="Arial" w:hAnsi="Arial" w:cs="Arial"/>
                <w:sz w:val="20"/>
                <w:szCs w:val="20"/>
              </w:rPr>
            </w:pPr>
            <w:r w:rsidRPr="00552563">
              <w:rPr>
                <w:rFonts w:ascii="Arial" w:hAnsi="Arial" w:cs="Arial"/>
                <w:sz w:val="20"/>
                <w:szCs w:val="20"/>
              </w:rPr>
              <w:t>5.819</w:t>
            </w:r>
          </w:p>
        </w:tc>
        <w:tc>
          <w:tcPr>
            <w:tcW w:w="2537" w:type="dxa"/>
            <w:gridSpan w:val="2"/>
            <w:vAlign w:val="bottom"/>
          </w:tcPr>
          <w:p w14:paraId="1376CCEB" w14:textId="77777777" w:rsidR="00552563" w:rsidRPr="00552563" w:rsidRDefault="00552563" w:rsidP="008B5944">
            <w:pPr>
              <w:ind w:right="880" w:firstLine="170"/>
              <w:jc w:val="right"/>
              <w:rPr>
                <w:rFonts w:ascii="Arial" w:hAnsi="Arial" w:cs="Arial"/>
                <w:sz w:val="20"/>
                <w:szCs w:val="20"/>
              </w:rPr>
            </w:pPr>
            <w:r w:rsidRPr="00552563">
              <w:rPr>
                <w:rFonts w:ascii="Arial" w:hAnsi="Arial" w:cs="Arial"/>
                <w:sz w:val="20"/>
                <w:szCs w:val="20"/>
              </w:rPr>
              <w:t>32,5</w:t>
            </w:r>
          </w:p>
        </w:tc>
      </w:tr>
    </w:tbl>
    <w:p w14:paraId="481F90EB" w14:textId="77777777" w:rsidR="00552563" w:rsidRPr="00552563" w:rsidRDefault="00552563" w:rsidP="00552563">
      <w:pPr>
        <w:tabs>
          <w:tab w:val="num" w:pos="0"/>
          <w:tab w:val="left" w:pos="9475"/>
        </w:tabs>
        <w:spacing w:before="40" w:after="40" w:line="264" w:lineRule="auto"/>
        <w:ind w:right="187" w:firstLine="567"/>
        <w:jc w:val="right"/>
        <w:rPr>
          <w:rFonts w:ascii="Arial" w:hAnsi="Arial" w:cs="Arial"/>
          <w:b/>
          <w:bCs/>
          <w:i/>
          <w:iCs/>
          <w:sz w:val="2"/>
          <w:szCs w:val="20"/>
        </w:rPr>
      </w:pPr>
    </w:p>
    <w:p w14:paraId="7E076CBF" w14:textId="77777777" w:rsidR="00552563" w:rsidRPr="008B5944" w:rsidRDefault="00552563">
      <w:pPr>
        <w:tabs>
          <w:tab w:val="num" w:pos="0"/>
          <w:tab w:val="left" w:pos="9475"/>
        </w:tabs>
        <w:spacing w:before="240" w:after="40" w:line="264" w:lineRule="auto"/>
        <w:jc w:val="both"/>
        <w:rPr>
          <w:rFonts w:eastAsia="Batang"/>
          <w:bCs/>
          <w:iCs/>
          <w:spacing w:val="-4"/>
        </w:rPr>
      </w:pPr>
      <w:r w:rsidRPr="008B5944">
        <w:rPr>
          <w:noProof/>
          <w:spacing w:val="2"/>
        </w:rPr>
        <mc:AlternateContent>
          <mc:Choice Requires="wps">
            <w:drawing>
              <wp:anchor distT="0" distB="0" distL="114300" distR="114300" simplePos="0" relativeHeight="251667456" behindDoc="0" locked="0" layoutInCell="1" allowOverlap="1" wp14:anchorId="44F6E414" wp14:editId="4E98B9C4">
                <wp:simplePos x="0" y="0"/>
                <wp:positionH relativeFrom="column">
                  <wp:posOffset>82550</wp:posOffset>
                </wp:positionH>
                <wp:positionV relativeFrom="paragraph">
                  <wp:posOffset>130175</wp:posOffset>
                </wp:positionV>
                <wp:extent cx="3591560" cy="270637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706370"/>
                        </a:xfrm>
                        <a:prstGeom prst="rect">
                          <a:avLst/>
                        </a:prstGeom>
                        <a:solidFill>
                          <a:srgbClr val="FFFFFF"/>
                        </a:solidFill>
                        <a:ln w="9525">
                          <a:noFill/>
                          <a:miter lim="800000"/>
                          <a:headEnd/>
                          <a:tailEnd/>
                        </a:ln>
                      </wps:spPr>
                      <wps:txbx>
                        <w:txbxContent>
                          <w:p w14:paraId="72971918" w14:textId="1251AAC1" w:rsidR="008B5944" w:rsidRPr="0023170E" w:rsidRDefault="008B5944" w:rsidP="00552563">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7 tháng </w:t>
                            </w:r>
                            <w:r w:rsidRPr="006822A2">
                              <w:rPr>
                                <w:rFonts w:ascii="Arial" w:hAnsi="Arial" w:cs="Arial"/>
                                <w:b/>
                                <w:bCs/>
                                <w:sz w:val="24"/>
                                <w:szCs w:val="24"/>
                              </w:rPr>
                              <w:t>năm 2025</w:t>
                            </w:r>
                          </w:p>
                          <w:p w14:paraId="29AAAD2C" w14:textId="77777777" w:rsidR="008B5944" w:rsidRPr="00F66505" w:rsidRDefault="008B5944" w:rsidP="00552563">
                            <w:pPr>
                              <w:ind w:left="-284"/>
                              <w:jc w:val="right"/>
                              <w:rPr>
                                <w:rFonts w:ascii="Arial" w:hAnsi="Arial" w:cs="Arial"/>
                                <w:b/>
                                <w:bCs/>
                                <w:sz w:val="14"/>
                                <w:szCs w:val="24"/>
                              </w:rPr>
                            </w:pPr>
                            <w:r w:rsidRPr="00436954">
                              <w:rPr>
                                <w:noProof/>
                              </w:rPr>
                              <w:drawing>
                                <wp:inline distT="0" distB="0" distL="0" distR="0" wp14:anchorId="1F951423" wp14:editId="35324913">
                                  <wp:extent cx="3262857" cy="2157984"/>
                                  <wp:effectExtent l="0" t="0" r="0" b="0"/>
                                  <wp:docPr id="651671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4528" cy="215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E414" id="_x0000_s1027" type="#_x0000_t202" style="position:absolute;left:0;text-align:left;margin-left:6.5pt;margin-top:10.25pt;width:282.8pt;height:2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24IwIAACQ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" stroked="f">
                <v:textbox>
                  <w:txbxContent>
                    <w:p w14:paraId="72971918" w14:textId="1251AAC1" w:rsidR="008B5944" w:rsidRPr="0023170E" w:rsidRDefault="008B5944" w:rsidP="00552563">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7 tháng </w:t>
                      </w:r>
                      <w:r w:rsidRPr="006822A2">
                        <w:rPr>
                          <w:rFonts w:ascii="Arial" w:hAnsi="Arial" w:cs="Arial"/>
                          <w:b/>
                          <w:bCs/>
                          <w:sz w:val="24"/>
                          <w:szCs w:val="24"/>
                        </w:rPr>
                        <w:t>năm 2025</w:t>
                      </w:r>
                    </w:p>
                    <w:p w14:paraId="29AAAD2C" w14:textId="77777777" w:rsidR="008B5944" w:rsidRPr="00F66505" w:rsidRDefault="008B5944" w:rsidP="00552563">
                      <w:pPr>
                        <w:ind w:left="-284"/>
                        <w:jc w:val="right"/>
                        <w:rPr>
                          <w:rFonts w:ascii="Arial" w:hAnsi="Arial" w:cs="Arial"/>
                          <w:b/>
                          <w:bCs/>
                          <w:sz w:val="14"/>
                          <w:szCs w:val="24"/>
                        </w:rPr>
                      </w:pPr>
                      <w:r w:rsidRPr="00436954">
                        <w:rPr>
                          <w:noProof/>
                        </w:rPr>
                        <w:drawing>
                          <wp:inline distT="0" distB="0" distL="0" distR="0" wp14:anchorId="1F951423" wp14:editId="35324913">
                            <wp:extent cx="3262857" cy="2157984"/>
                            <wp:effectExtent l="0" t="0" r="0" b="0"/>
                            <wp:docPr id="651671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4528" cy="2159089"/>
                                    </a:xfrm>
                                    <a:prstGeom prst="rect">
                                      <a:avLst/>
                                    </a:prstGeom>
                                    <a:noFill/>
                                    <a:ln>
                                      <a:noFill/>
                                    </a:ln>
                                  </pic:spPr>
                                </pic:pic>
                              </a:graphicData>
                            </a:graphic>
                          </wp:inline>
                        </w:drawing>
                      </w:r>
                    </w:p>
                  </w:txbxContent>
                </v:textbox>
                <w10:wrap type="square"/>
              </v:shape>
            </w:pict>
          </mc:Fallback>
        </mc:AlternateContent>
      </w:r>
      <w:r w:rsidRPr="00552563">
        <w:rPr>
          <w:rFonts w:eastAsia="Batang"/>
          <w:i/>
          <w:iCs/>
        </w:rPr>
        <w:t>V</w:t>
      </w:r>
      <w:r w:rsidRPr="008B5944">
        <w:rPr>
          <w:rFonts w:eastAsia="Batang"/>
          <w:i/>
          <w:iCs/>
          <w:spacing w:val="-4"/>
        </w:rPr>
        <w:t xml:space="preserve">ề cơ cấu nhóm hàng nhập khẩu bảy tháng năm 2025, </w:t>
      </w:r>
      <w:r w:rsidRPr="008B5944">
        <w:rPr>
          <w:rFonts w:eastAsia="Batang"/>
          <w:bCs/>
          <w:iCs/>
          <w:spacing w:val="-4"/>
        </w:rPr>
        <w:t>nhóm hàng tư liệu sản xuất đạt 236,57 tỷ USD, chiếm 93,8%, trong đó nhóm hàng máy móc thiết bị, dụng cụ phụ tùng chiếm 51,7%; nhóm hàng nguyên, nhiên, vật liệu chiếm 42,1%.</w:t>
      </w:r>
      <w:r w:rsidRPr="008B5944">
        <w:rPr>
          <w:rFonts w:eastAsia="Batang"/>
          <w:iCs/>
          <w:spacing w:val="-4"/>
        </w:rPr>
        <w:t xml:space="preserve"> Nhóm h</w:t>
      </w:r>
      <w:r w:rsidRPr="008B5944">
        <w:rPr>
          <w:rFonts w:eastAsia="Batang"/>
          <w:bCs/>
          <w:iCs/>
          <w:spacing w:val="-4"/>
        </w:rPr>
        <w:t>àng vật phẩm tiêu dùng đạt 15,69 tỷ USD, chiếm 6,2%.</w:t>
      </w:r>
    </w:p>
    <w:p w14:paraId="5DFFEE7D" w14:textId="3C4E1EBD" w:rsidR="00D6457E" w:rsidRDefault="00D6457E" w:rsidP="008B5944">
      <w:pPr>
        <w:tabs>
          <w:tab w:val="num" w:pos="0"/>
          <w:tab w:val="left" w:pos="9475"/>
        </w:tabs>
        <w:spacing w:after="120" w:line="276" w:lineRule="auto"/>
        <w:ind w:firstLine="720"/>
        <w:jc w:val="both"/>
        <w:rPr>
          <w:iCs/>
          <w:spacing w:val="-4"/>
        </w:rPr>
      </w:pPr>
      <w:r w:rsidRPr="008B5944">
        <w:rPr>
          <w:bCs/>
          <w:i/>
          <w:spacing w:val="-4"/>
        </w:rPr>
        <w:t>Về thị trường xuất, nhập khẩu hàng hóa bảy tháng năm 2025,</w:t>
      </w:r>
      <w:r w:rsidRPr="008B5944">
        <w:rPr>
          <w:bCs/>
          <w:iCs/>
          <w:spacing w:val="-4"/>
        </w:rPr>
        <w:t xml:space="preserve"> Hoa Kỳ là thị trường xuất khẩu lớn nhất của Việt Nam với kim ngạch đạt 85,1 tỷ USD. </w:t>
      </w:r>
      <w:r w:rsidRPr="008B5944">
        <w:rPr>
          <w:iCs/>
          <w:spacing w:val="-4"/>
        </w:rPr>
        <w:t>Trung Quốc là thị trường nhập khẩu lớn nhất của Việt Nam với kim ngạch đạt 101,5 tỷ USD. Trong bảy tháng năm 2025, xuất siêu sang Hoa Kỳ đạt 74,6 tỷ USD tăng 28,6% so với cùng kỳ năm trước; xuất siêu sang EU 22,</w:t>
      </w:r>
      <w:r w:rsidR="004778A6">
        <w:rPr>
          <w:iCs/>
          <w:spacing w:val="-4"/>
        </w:rPr>
        <w:t>3</w:t>
      </w:r>
      <w:r w:rsidRPr="008B5944">
        <w:rPr>
          <w:iCs/>
          <w:spacing w:val="-4"/>
        </w:rPr>
        <w:t xml:space="preserve"> tỷ USD, tăng 9,9%; xuất siêu sang Nhật Bản 1,3 tỷ USD, tăng 21,0%; nhập siêu từ Trung Quốc 66,</w:t>
      </w:r>
      <w:r w:rsidR="004778A6">
        <w:rPr>
          <w:iCs/>
          <w:spacing w:val="-4"/>
        </w:rPr>
        <w:t>5</w:t>
      </w:r>
      <w:r w:rsidRPr="008B5944">
        <w:rPr>
          <w:iCs/>
          <w:spacing w:val="-4"/>
        </w:rPr>
        <w:t xml:space="preserve"> tỷ USD, tăng 41,1%; nhập siêu từ Hàn Quốc 17,4 tỷ USD, giảm 0,2%; nhập siêu từ ASEAN 8,5 tỷ USD, tăng 63,0%.</w:t>
      </w:r>
    </w:p>
    <w:p w14:paraId="29951006" w14:textId="38E46384" w:rsidR="00D20D50" w:rsidRPr="000A74BB" w:rsidRDefault="006E70F3" w:rsidP="008B5944">
      <w:pPr>
        <w:tabs>
          <w:tab w:val="num" w:pos="0"/>
          <w:tab w:val="left" w:pos="9475"/>
        </w:tabs>
        <w:spacing w:after="120" w:line="276" w:lineRule="auto"/>
        <w:ind w:firstLine="720"/>
        <w:jc w:val="both"/>
        <w:rPr>
          <w:rFonts w:ascii="Arial" w:hAnsi="Arial" w:cs="Arial"/>
          <w:b/>
          <w:bCs/>
          <w:i/>
          <w:iCs/>
          <w:sz w:val="2"/>
          <w:szCs w:val="20"/>
        </w:rPr>
      </w:pPr>
      <w:r>
        <w:rPr>
          <w:iCs/>
        </w:rPr>
        <w:t>C</w:t>
      </w:r>
      <w:r w:rsidR="00D20D50" w:rsidRPr="00E36D08">
        <w:rPr>
          <w:iCs/>
        </w:rPr>
        <w:t xml:space="preserve">án cân thương mại hàng hóa </w:t>
      </w:r>
      <w:r>
        <w:rPr>
          <w:iCs/>
        </w:rPr>
        <w:t xml:space="preserve">sơ bộ </w:t>
      </w:r>
      <w:r w:rsidR="00D20D50" w:rsidRPr="00E36D08">
        <w:rPr>
          <w:iCs/>
        </w:rPr>
        <w:t>tháng Sáu xuất siêu 2,86 tỷ USD</w:t>
      </w:r>
      <w:r w:rsidR="00D20D50" w:rsidRPr="00552563">
        <w:rPr>
          <w:iCs/>
          <w:vertAlign w:val="superscript"/>
        </w:rPr>
        <w:footnoteReference w:id="18"/>
      </w:r>
      <w:r w:rsidR="00D20D50" w:rsidRPr="00552563">
        <w:rPr>
          <w:iCs/>
        </w:rPr>
        <w:t xml:space="preserve">; </w:t>
      </w:r>
      <w:bookmarkStart w:id="3" w:name="_Hlk181359994"/>
      <w:r w:rsidR="00D20D50" w:rsidRPr="00552563">
        <w:rPr>
          <w:iCs/>
        </w:rPr>
        <w:t>sáu tháng xuất siêu 7,91 tỷ USD; tháng Bảy xuất siêu 2,27 tỷ USD. Tính chung bảy tháng năm 2025, cán cân thương mại hàng hóa xuất siêu 10,18 tỷ USD (cùng kỳ năm trước xuất siêu 14,63 tỷ USD). Trong đó, khu vực kinh tế trong nước nhập siêu 16,6 tỷ USD; khu vực có vốn đầu tư nước ngoài (kể cả dầu thô) xuất siêu 26,78 tỷ USD.</w:t>
      </w:r>
      <w:bookmarkEnd w:id="3"/>
    </w:p>
    <w:p w14:paraId="247D5B16" w14:textId="10F1B265" w:rsidR="00D6457E" w:rsidRPr="008B5944" w:rsidRDefault="00D6457E" w:rsidP="00D6457E">
      <w:pPr>
        <w:tabs>
          <w:tab w:val="num" w:pos="0"/>
          <w:tab w:val="left" w:pos="9475"/>
        </w:tabs>
        <w:spacing w:before="40" w:after="40" w:line="264" w:lineRule="auto"/>
        <w:ind w:right="6"/>
        <w:jc w:val="center"/>
        <w:rPr>
          <w:rFonts w:ascii="Arial" w:hAnsi="Arial" w:cs="Arial"/>
          <w:b/>
          <w:iCs/>
          <w:spacing w:val="-2"/>
          <w:sz w:val="24"/>
        </w:rPr>
      </w:pPr>
      <w:r w:rsidRPr="008B5944">
        <w:rPr>
          <w:rFonts w:ascii="Arial" w:hAnsi="Arial" w:cs="Arial"/>
          <w:b/>
          <w:iCs/>
          <w:spacing w:val="-2"/>
          <w:sz w:val="24"/>
        </w:rPr>
        <w:lastRenderedPageBreak/>
        <w:t>Hình 1</w:t>
      </w:r>
      <w:r>
        <w:rPr>
          <w:rFonts w:ascii="Arial" w:hAnsi="Arial" w:cs="Arial"/>
          <w:b/>
          <w:iCs/>
          <w:spacing w:val="-2"/>
          <w:sz w:val="24"/>
        </w:rPr>
        <w:t>4</w:t>
      </w:r>
      <w:r w:rsidRPr="008B5944">
        <w:rPr>
          <w:rFonts w:ascii="Arial" w:hAnsi="Arial" w:cs="Arial"/>
          <w:b/>
          <w:iCs/>
          <w:spacing w:val="-2"/>
          <w:sz w:val="24"/>
        </w:rPr>
        <w:t>. Thị trường xuất, nhập khẩu hàng hoá chủ yếu 7 tháng năm 2025</w:t>
      </w:r>
    </w:p>
    <w:tbl>
      <w:tblPr>
        <w:tblStyle w:val="TableGrid5"/>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D20D50" w:rsidRPr="00D20D50" w14:paraId="6FB3C9E8" w14:textId="77777777" w:rsidTr="00D8287C">
        <w:trPr>
          <w:trHeight w:val="3151"/>
          <w:jc w:val="center"/>
        </w:trPr>
        <w:tc>
          <w:tcPr>
            <w:tcW w:w="4675" w:type="dxa"/>
            <w:gridSpan w:val="3"/>
          </w:tcPr>
          <w:p w14:paraId="2D157BF8" w14:textId="77777777" w:rsidR="00D20D50" w:rsidRPr="00D20D50" w:rsidRDefault="00D20D50" w:rsidP="00D20D50">
            <w:pPr>
              <w:tabs>
                <w:tab w:val="num" w:pos="0"/>
                <w:tab w:val="left" w:pos="9475"/>
              </w:tabs>
              <w:spacing w:before="40" w:after="40" w:line="264" w:lineRule="auto"/>
              <w:ind w:right="-118"/>
              <w:jc w:val="both"/>
              <w:rPr>
                <w:iCs/>
                <w:highlight w:val="yellow"/>
              </w:rPr>
            </w:pPr>
            <w:r w:rsidRPr="00D20D50">
              <w:rPr>
                <w:noProof/>
              </w:rPr>
              <w:drawing>
                <wp:inline distT="0" distB="0" distL="0" distR="0" wp14:anchorId="765E755B" wp14:editId="3413A9E6">
                  <wp:extent cx="2896235" cy="2190998"/>
                  <wp:effectExtent l="0" t="0" r="18415" b="0"/>
                  <wp:docPr id="593430213"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8" w:type="dxa"/>
            <w:gridSpan w:val="3"/>
          </w:tcPr>
          <w:p w14:paraId="2C41B46F" w14:textId="77777777" w:rsidR="00D20D50" w:rsidRPr="00D20D50" w:rsidRDefault="00D20D50" w:rsidP="00D20D50">
            <w:pPr>
              <w:tabs>
                <w:tab w:val="num" w:pos="0"/>
                <w:tab w:val="left" w:pos="9475"/>
              </w:tabs>
              <w:spacing w:before="40" w:after="40" w:line="264" w:lineRule="auto"/>
              <w:ind w:right="6" w:hanging="107"/>
              <w:jc w:val="both"/>
              <w:rPr>
                <w:iCs/>
                <w:highlight w:val="yellow"/>
              </w:rPr>
            </w:pPr>
            <w:r w:rsidRPr="00D20D50">
              <w:rPr>
                <w:noProof/>
              </w:rPr>
              <w:drawing>
                <wp:inline distT="0" distB="0" distL="0" distR="0" wp14:anchorId="5C56548E" wp14:editId="768E2A27">
                  <wp:extent cx="2922270" cy="2190750"/>
                  <wp:effectExtent l="0" t="0" r="11430" b="0"/>
                  <wp:docPr id="554657181"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20D50" w:rsidRPr="00D20D50" w14:paraId="63E8D5C9" w14:textId="77777777" w:rsidTr="00D8287C">
        <w:trPr>
          <w:gridAfter w:val="1"/>
          <w:wAfter w:w="532" w:type="dxa"/>
          <w:trHeight w:val="176"/>
          <w:jc w:val="center"/>
        </w:trPr>
        <w:tc>
          <w:tcPr>
            <w:tcW w:w="1791" w:type="dxa"/>
          </w:tcPr>
          <w:p w14:paraId="5F55C356" w14:textId="77777777" w:rsidR="00D20D50" w:rsidRPr="00D20D50" w:rsidRDefault="00D20D50" w:rsidP="00D20D50">
            <w:pPr>
              <w:spacing w:before="40" w:after="40" w:line="264" w:lineRule="auto"/>
              <w:jc w:val="both"/>
              <w:rPr>
                <w:b/>
                <w:bCs/>
                <w:i/>
                <w:iCs/>
                <w:highlight w:val="yellow"/>
              </w:rPr>
            </w:pPr>
          </w:p>
        </w:tc>
        <w:tc>
          <w:tcPr>
            <w:tcW w:w="619" w:type="dxa"/>
          </w:tcPr>
          <w:p w14:paraId="7833B665" w14:textId="77777777" w:rsidR="00D20D50" w:rsidRPr="00D20D50" w:rsidRDefault="00D20D50" w:rsidP="00D20D50">
            <w:pPr>
              <w:spacing w:before="40" w:after="40" w:line="264" w:lineRule="auto"/>
              <w:jc w:val="both"/>
              <w:rPr>
                <w:b/>
                <w:bCs/>
                <w:i/>
                <w:iCs/>
                <w:highlight w:val="yellow"/>
              </w:rPr>
            </w:pPr>
          </w:p>
        </w:tc>
        <w:tc>
          <w:tcPr>
            <w:tcW w:w="2265" w:type="dxa"/>
          </w:tcPr>
          <w:p w14:paraId="72E94011" w14:textId="77777777" w:rsidR="00D20D50" w:rsidRPr="008B5944" w:rsidRDefault="00D20D50" w:rsidP="00D20D50">
            <w:pPr>
              <w:spacing w:before="40" w:after="40" w:line="264" w:lineRule="auto"/>
              <w:jc w:val="both"/>
              <w:rPr>
                <w:b/>
                <w:bCs/>
                <w:i/>
                <w:iCs/>
              </w:rPr>
            </w:pPr>
            <w:r w:rsidRPr="008B5944">
              <w:rPr>
                <w:noProof/>
              </w:rPr>
              <mc:AlternateContent>
                <mc:Choice Requires="wps">
                  <w:drawing>
                    <wp:anchor distT="0" distB="0" distL="114300" distR="114300" simplePos="0" relativeHeight="251669504" behindDoc="0" locked="0" layoutInCell="1" allowOverlap="1" wp14:anchorId="71DE599E" wp14:editId="7A20F09D">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D061A"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" fillcolor="#00b050" stroked="f" strokeweight="1pt"/>
                  </w:pict>
                </mc:Fallback>
              </mc:AlternateContent>
            </w:r>
            <w:r w:rsidRPr="008B5944">
              <w:rPr>
                <w:rFonts w:ascii="Arial" w:hAnsi="Arial" w:cs="Arial"/>
                <w:iCs/>
                <w:sz w:val="16"/>
                <w:szCs w:val="16"/>
              </w:rPr>
              <w:t xml:space="preserve">           Xuất khẩu </w:t>
            </w:r>
            <w:r w:rsidRPr="008B5944">
              <w:rPr>
                <w:rFonts w:ascii="Arial" w:hAnsi="Arial" w:cs="Arial"/>
                <w:iCs/>
                <w:noProof/>
                <w:sz w:val="16"/>
                <w:szCs w:val="16"/>
                <w:lang w:eastAsia="en-GB"/>
              </w:rPr>
              <w:t>h</w:t>
            </w:r>
            <w:r w:rsidRPr="008B5944">
              <w:rPr>
                <w:rFonts w:ascii="Arial" w:hAnsi="Arial" w:cs="Arial"/>
                <w:iCs/>
                <w:sz w:val="16"/>
                <w:szCs w:val="16"/>
              </w:rPr>
              <w:t>àng hóa</w:t>
            </w:r>
          </w:p>
        </w:tc>
        <w:tc>
          <w:tcPr>
            <w:tcW w:w="2838" w:type="dxa"/>
          </w:tcPr>
          <w:p w14:paraId="794BC448" w14:textId="77777777" w:rsidR="00D20D50" w:rsidRPr="00D20D50" w:rsidRDefault="00D20D50" w:rsidP="00D20D50">
            <w:pPr>
              <w:spacing w:before="40" w:after="40" w:line="264" w:lineRule="auto"/>
              <w:jc w:val="both"/>
              <w:rPr>
                <w:b/>
                <w:bCs/>
                <w:i/>
                <w:iCs/>
              </w:rPr>
            </w:pPr>
            <w:r w:rsidRPr="008B5944">
              <w:rPr>
                <w:noProof/>
              </w:rPr>
              <mc:AlternateContent>
                <mc:Choice Requires="wps">
                  <w:drawing>
                    <wp:anchor distT="0" distB="0" distL="114300" distR="114300" simplePos="0" relativeHeight="251670528" behindDoc="0" locked="0" layoutInCell="1" allowOverlap="1" wp14:anchorId="5CBBBEBB" wp14:editId="2990E3FA">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063DE"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" fillcolor="#7030a0" strokecolor="#3b3838" strokeweight=".5pt">
                      <v:path arrowok="t"/>
                    </v:rect>
                  </w:pict>
                </mc:Fallback>
              </mc:AlternateContent>
            </w:r>
            <w:r w:rsidRPr="008B5944">
              <w:rPr>
                <w:rFonts w:ascii="Arial" w:hAnsi="Arial" w:cs="Arial"/>
                <w:iCs/>
                <w:sz w:val="16"/>
                <w:szCs w:val="16"/>
              </w:rPr>
              <w:t xml:space="preserve">          Nhập khẩu </w:t>
            </w:r>
            <w:r w:rsidRPr="008B5944">
              <w:rPr>
                <w:rFonts w:ascii="Arial" w:hAnsi="Arial" w:cs="Arial"/>
                <w:iCs/>
                <w:noProof/>
                <w:sz w:val="16"/>
                <w:szCs w:val="16"/>
                <w:lang w:eastAsia="en-GB"/>
              </w:rPr>
              <w:t>h</w:t>
            </w:r>
            <w:r w:rsidRPr="008B5944">
              <w:rPr>
                <w:rFonts w:ascii="Arial" w:hAnsi="Arial" w:cs="Arial"/>
                <w:iCs/>
                <w:sz w:val="16"/>
                <w:szCs w:val="16"/>
              </w:rPr>
              <w:t>àng hóa</w:t>
            </w:r>
          </w:p>
        </w:tc>
        <w:tc>
          <w:tcPr>
            <w:tcW w:w="1448" w:type="dxa"/>
          </w:tcPr>
          <w:p w14:paraId="6AB604F3" w14:textId="77777777" w:rsidR="00D20D50" w:rsidRPr="00D20D50" w:rsidRDefault="00D20D50" w:rsidP="00D20D50">
            <w:pPr>
              <w:spacing w:before="40" w:after="40" w:line="264" w:lineRule="auto"/>
              <w:jc w:val="both"/>
              <w:rPr>
                <w:b/>
                <w:bCs/>
                <w:i/>
                <w:iCs/>
              </w:rPr>
            </w:pPr>
          </w:p>
        </w:tc>
      </w:tr>
    </w:tbl>
    <w:bookmarkEnd w:id="0"/>
    <w:p w14:paraId="1A4F2AC9" w14:textId="50F3D8FC" w:rsidR="00EF01E6" w:rsidRPr="000A74BB" w:rsidRDefault="00EF01E6" w:rsidP="005952D3">
      <w:pPr>
        <w:spacing w:after="120" w:line="264" w:lineRule="auto"/>
        <w:ind w:firstLine="720"/>
        <w:jc w:val="both"/>
        <w:rPr>
          <w:b/>
          <w:i/>
          <w:lang w:val="en-IN"/>
        </w:rPr>
      </w:pPr>
      <w:r w:rsidRPr="000A74BB">
        <w:rPr>
          <w:b/>
          <w:i/>
        </w:rPr>
        <w:t>c) Chỉ số giá tiêu dùng, chỉ số giá vàng và chỉ số giá đô la M</w:t>
      </w:r>
      <w:r w:rsidRPr="000A74BB">
        <w:rPr>
          <w:b/>
          <w:i/>
          <w:lang w:val="en-IN"/>
        </w:rPr>
        <w:t>ỹ</w:t>
      </w:r>
    </w:p>
    <w:p w14:paraId="6A2920BE" w14:textId="654D0432" w:rsidR="00EF01E6" w:rsidRPr="00EC1DB1" w:rsidRDefault="00EF01E6" w:rsidP="005952D3">
      <w:pPr>
        <w:spacing w:after="120" w:line="264" w:lineRule="auto"/>
        <w:ind w:firstLine="720"/>
        <w:jc w:val="both"/>
        <w:rPr>
          <w:rFonts w:eastAsia="Calibri"/>
          <w:i/>
          <w:lang w:eastAsia="x-none"/>
        </w:rPr>
      </w:pPr>
      <w:r w:rsidRPr="000A74BB">
        <w:rPr>
          <w:rFonts w:eastAsia="Calibri"/>
          <w:i/>
          <w:lang w:val="x-none" w:eastAsia="x-none"/>
        </w:rPr>
        <w:t xml:space="preserve">Chỉ số giá tiêu dùng (CPI) tháng </w:t>
      </w:r>
      <w:r w:rsidR="00BD5E18">
        <w:rPr>
          <w:rFonts w:eastAsia="Calibri"/>
          <w:i/>
          <w:lang w:val="x-none" w:eastAsia="x-none"/>
        </w:rPr>
        <w:t xml:space="preserve">Bảy </w:t>
      </w:r>
      <w:r w:rsidRPr="000A74BB">
        <w:rPr>
          <w:rFonts w:eastAsia="Calibri"/>
          <w:i/>
          <w:lang w:val="x-none" w:eastAsia="x-none"/>
        </w:rPr>
        <w:t>tăng 0,11% so với tháng trước chủ yếu do giá vật liệu bảo dưỡng nhà ở, giá thực phẩm, ăn uống ngoài gia đình tăng. CPI tháng Bảy tăng 2,13% so với tháng 12/2024; tăng 3,19% so với cùng kỳ năm trước</w:t>
      </w:r>
      <w:r w:rsidR="00A14C64">
        <w:rPr>
          <w:rFonts w:eastAsia="Calibri"/>
          <w:i/>
          <w:lang w:eastAsia="x-none"/>
        </w:rPr>
        <w:t>.</w:t>
      </w:r>
    </w:p>
    <w:p w14:paraId="46DA18AA" w14:textId="77777777" w:rsidR="00EF01E6" w:rsidRPr="000A74BB" w:rsidRDefault="00EF01E6" w:rsidP="005952D3">
      <w:pPr>
        <w:spacing w:after="120" w:line="264" w:lineRule="auto"/>
        <w:ind w:firstLine="720"/>
        <w:jc w:val="both"/>
        <w:rPr>
          <w:rFonts w:eastAsia="Calibri"/>
          <w:i/>
          <w:spacing w:val="2"/>
          <w:lang w:val="x-none" w:eastAsia="x-none"/>
        </w:rPr>
      </w:pPr>
      <w:r w:rsidRPr="000A74BB">
        <w:rPr>
          <w:rFonts w:eastAsia="Calibri"/>
          <w:i/>
          <w:spacing w:val="2"/>
          <w:lang w:val="x-none" w:eastAsia="x-none"/>
        </w:rPr>
        <w:t>Bình quân bảy tháng năm 2025, CPI tăng 3,26% so với cùng kỳ năm trước; lạm phát cơ bản tăng 3,18%.</w:t>
      </w:r>
    </w:p>
    <w:p w14:paraId="37F108AD" w14:textId="654366CF" w:rsidR="00EF01E6" w:rsidRPr="000A74BB" w:rsidRDefault="00EF01E6" w:rsidP="00EF01E6">
      <w:pPr>
        <w:spacing w:after="240"/>
        <w:jc w:val="center"/>
        <w:rPr>
          <w:rFonts w:ascii="Arial" w:eastAsia="Calibri" w:hAnsi="Arial" w:cs="Arial"/>
          <w:b/>
          <w:sz w:val="24"/>
          <w:szCs w:val="24"/>
          <w:lang w:val="nl-NL"/>
        </w:rPr>
      </w:pPr>
      <w:r w:rsidRPr="000A74BB">
        <w:rPr>
          <w:rFonts w:ascii="Arial" w:eastAsia="Calibri" w:hAnsi="Arial" w:cs="Arial"/>
          <w:b/>
          <w:sz w:val="24"/>
          <w:szCs w:val="24"/>
          <w:lang w:val="nl-NL"/>
        </w:rPr>
        <w:t>Hình 15. Tốc độ tăng/giảm CPI tháng 7/2025 so với tháng trước</w:t>
      </w:r>
    </w:p>
    <w:p w14:paraId="34E6A34C" w14:textId="77777777" w:rsidR="00EF01E6" w:rsidRPr="000A74BB" w:rsidRDefault="00EF01E6" w:rsidP="00EF01E6">
      <w:pPr>
        <w:spacing w:after="240"/>
        <w:jc w:val="center"/>
        <w:rPr>
          <w:rFonts w:ascii="Arial" w:eastAsia="Calibri" w:hAnsi="Arial" w:cs="Arial"/>
          <w:b/>
          <w:sz w:val="24"/>
          <w:szCs w:val="24"/>
          <w:lang w:val="nl-NL"/>
        </w:rPr>
      </w:pPr>
      <w:r w:rsidRPr="000A74BB">
        <w:rPr>
          <w:noProof/>
          <w14:ligatures w14:val="standardContextual"/>
        </w:rPr>
        <w:drawing>
          <wp:inline distT="0" distB="0" distL="0" distR="0" wp14:anchorId="5C58BE2C" wp14:editId="736F78C5">
            <wp:extent cx="5676265" cy="3467594"/>
            <wp:effectExtent l="0" t="0" r="635" b="0"/>
            <wp:docPr id="40331594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137B45" w14:textId="44B1DAA3" w:rsidR="00EF01E6" w:rsidRPr="000A74BB" w:rsidRDefault="00EF01E6" w:rsidP="008B5944">
      <w:pPr>
        <w:widowControl w:val="0"/>
        <w:spacing w:before="120" w:after="120" w:line="264" w:lineRule="auto"/>
        <w:ind w:firstLine="720"/>
        <w:jc w:val="both"/>
        <w:rPr>
          <w:rFonts w:eastAsia="Calibri"/>
          <w:lang w:val="nl-NL"/>
        </w:rPr>
      </w:pPr>
      <w:r w:rsidRPr="000A74BB">
        <w:rPr>
          <w:rFonts w:eastAsia="Calibri"/>
          <w:lang w:val="nl-NL"/>
        </w:rPr>
        <w:t xml:space="preserve">Trong mức tăng 0,11% của CPI tháng </w:t>
      </w:r>
      <w:r w:rsidR="00A14C64">
        <w:rPr>
          <w:rFonts w:eastAsia="Calibri"/>
          <w:lang w:val="nl-NL"/>
        </w:rPr>
        <w:t>Bảy</w:t>
      </w:r>
      <w:r w:rsidRPr="000A74BB">
        <w:rPr>
          <w:rFonts w:eastAsia="Calibri"/>
          <w:lang w:val="nl-NL"/>
        </w:rPr>
        <w:t xml:space="preserve"> so với tháng trước, có 09 nhóm hàng hóa và dịch vụ có chỉ số giá tăng; 02 nhóm hàng hóa và dịch vụ có chỉ số giá giảm.</w:t>
      </w:r>
    </w:p>
    <w:p w14:paraId="796CC5AD" w14:textId="77777777" w:rsidR="00EF01E6" w:rsidRPr="000A74BB" w:rsidRDefault="00EF01E6" w:rsidP="005952D3">
      <w:pPr>
        <w:tabs>
          <w:tab w:val="left" w:pos="993"/>
        </w:tabs>
        <w:spacing w:after="120" w:line="264" w:lineRule="auto"/>
        <w:ind w:firstLine="720"/>
        <w:jc w:val="both"/>
        <w:rPr>
          <w:rFonts w:eastAsia="Calibri"/>
          <w:lang w:val="es-NI"/>
        </w:rPr>
      </w:pPr>
      <w:r w:rsidRPr="000A74BB">
        <w:rPr>
          <w:rFonts w:eastAsia="Calibri"/>
          <w:lang w:val="es-NI"/>
        </w:rPr>
        <w:lastRenderedPageBreak/>
        <w:t>(1) Chín nhóm hàng hóa và dịch vụ có chỉ số giá tăng gồm:</w:t>
      </w:r>
    </w:p>
    <w:p w14:paraId="5CE88637" w14:textId="56A6D405" w:rsidR="00EF01E6" w:rsidRPr="00306C05" w:rsidRDefault="00EF01E6" w:rsidP="005952D3">
      <w:pPr>
        <w:spacing w:after="120" w:line="264" w:lineRule="auto"/>
        <w:ind w:firstLine="720"/>
        <w:jc w:val="both"/>
        <w:rPr>
          <w:lang w:val="es-NI"/>
        </w:rPr>
      </w:pPr>
      <w:r w:rsidRPr="00306C05">
        <w:rPr>
          <w:lang w:val="es-NI"/>
        </w:rPr>
        <w:t xml:space="preserve">- </w:t>
      </w:r>
      <w:r w:rsidRPr="00306C05">
        <w:rPr>
          <w:i/>
          <w:lang w:val="es-NI"/>
        </w:rPr>
        <w:t>N</w:t>
      </w:r>
      <w:r w:rsidRPr="000A74BB">
        <w:rPr>
          <w:i/>
          <w:lang w:val="vi-VN"/>
        </w:rPr>
        <w:t>hóm nhà ở</w:t>
      </w:r>
      <w:r w:rsidRPr="00306C05">
        <w:rPr>
          <w:i/>
          <w:lang w:val="es-NI"/>
        </w:rPr>
        <w:t>, điện nước, chất đốt</w:t>
      </w:r>
      <w:r w:rsidRPr="000A74BB">
        <w:rPr>
          <w:i/>
          <w:lang w:val="vi-VN"/>
        </w:rPr>
        <w:t xml:space="preserve"> và vật liệu xây dựng</w:t>
      </w:r>
      <w:r w:rsidRPr="000A74BB">
        <w:rPr>
          <w:lang w:val="vi-VN"/>
        </w:rPr>
        <w:t xml:space="preserve"> tăng </w:t>
      </w:r>
      <w:r w:rsidRPr="00306C05">
        <w:rPr>
          <w:lang w:val="es-NI"/>
        </w:rPr>
        <w:t>0,36</w:t>
      </w:r>
      <w:r w:rsidRPr="000A74BB">
        <w:rPr>
          <w:lang w:val="vi-VN"/>
        </w:rPr>
        <w:t xml:space="preserve">% </w:t>
      </w:r>
      <w:r w:rsidRPr="00306C05">
        <w:rPr>
          <w:lang w:val="es-NI"/>
        </w:rPr>
        <w:t>(</w:t>
      </w:r>
      <w:r w:rsidRPr="000A74BB">
        <w:rPr>
          <w:lang w:val="vi-VN"/>
        </w:rPr>
        <w:t xml:space="preserve">tác động làm tăng CPI chung </w:t>
      </w:r>
      <w:r w:rsidRPr="00306C05">
        <w:rPr>
          <w:lang w:val="es-NI"/>
        </w:rPr>
        <w:t>0,07</w:t>
      </w:r>
      <w:r w:rsidRPr="000A74BB">
        <w:rPr>
          <w:lang w:val="vi-VN"/>
        </w:rPr>
        <w:t xml:space="preserve"> điểm phần trăm</w:t>
      </w:r>
      <w:r w:rsidRPr="00306C05">
        <w:rPr>
          <w:lang w:val="es-NI"/>
        </w:rPr>
        <w:t>)</w:t>
      </w:r>
      <w:r w:rsidRPr="000A74BB">
        <w:rPr>
          <w:lang w:val="vi-VN"/>
        </w:rPr>
        <w:t xml:space="preserve">, </w:t>
      </w:r>
      <w:r w:rsidRPr="00306C05">
        <w:rPr>
          <w:lang w:val="es-NI"/>
        </w:rPr>
        <w:t>chủ yếu tăng giá ở một số mặt hàng sau</w:t>
      </w:r>
      <w:r w:rsidRPr="000A74BB">
        <w:rPr>
          <w:lang w:val="vi-VN"/>
        </w:rPr>
        <w:t>:</w:t>
      </w:r>
      <w:r w:rsidRPr="00306C05">
        <w:rPr>
          <w:lang w:val="es-NI"/>
        </w:rPr>
        <w:t xml:space="preserve"> Giá vật liệu bảo dưỡng nhà ở tăng 1,96% do giá gạch, cát, đá tăng cao khi nguồn cung khan hiếm, chi phí sản xuất, vận chuyển tăng và nhu cầu xây dựng cao; giá điện sinh hoạt tăng 1,82%</w:t>
      </w:r>
      <w:r w:rsidRPr="000A74BB">
        <w:rPr>
          <w:vertAlign w:val="superscript"/>
          <w:lang w:val="nl-NL"/>
        </w:rPr>
        <w:footnoteReference w:id="19"/>
      </w:r>
      <w:r w:rsidRPr="00306C05">
        <w:rPr>
          <w:lang w:val="es-NI"/>
        </w:rPr>
        <w:t xml:space="preserve"> do nhu cầu sử dụng điện tăng khi thời tiết nắng nóng kéo dài ở nhiều khu vực, đặc biệt tại </w:t>
      </w:r>
      <w:r w:rsidR="00A14C64" w:rsidRPr="00306C05">
        <w:rPr>
          <w:lang w:val="es-NI"/>
        </w:rPr>
        <w:t>m</w:t>
      </w:r>
      <w:r w:rsidRPr="00306C05">
        <w:rPr>
          <w:lang w:val="es-NI"/>
        </w:rPr>
        <w:t>iền Bắc</w:t>
      </w:r>
      <w:r w:rsidR="00F93032">
        <w:rPr>
          <w:lang w:val="es-NI"/>
        </w:rPr>
        <w:t>,</w:t>
      </w:r>
      <w:r w:rsidRPr="00306C05">
        <w:rPr>
          <w:lang w:val="es-NI"/>
        </w:rPr>
        <w:t xml:space="preserve"> </w:t>
      </w:r>
      <w:r w:rsidR="00A14C64" w:rsidRPr="00306C05">
        <w:rPr>
          <w:lang w:val="es-NI"/>
        </w:rPr>
        <w:t>m</w:t>
      </w:r>
      <w:r w:rsidRPr="00306C05">
        <w:rPr>
          <w:lang w:val="es-NI"/>
        </w:rPr>
        <w:t>iền Trung và từ ngày 10/5/2025 Tập đoàn Điện lực Việt Nam (EVN) tăng giá điện sinh hoạt; giá dầu hỏa tăng 2,64% do ảnh hưởng của các đợt điều chỉnh giá trong tháng. Ngược lại, một số nhóm có chỉ số giá tháng Bảy giảm so với tháng trước: Giá thuê nhà giảm 0,45% do tháng Bảy trùng với kỳ nghỉ hè, học sinh, sinh viên về quê dẫn đến lượng người thuê nhà giảm, nhiều chủ hộ giảm giá nhà thuê để giữ khách; giá gas đun giảm 3,33% do giá gas thế giới theo hợp đồng giảm 25 USD/tấn, từ 585 USD/tấn xuống còn 560 USD/tấn.</w:t>
      </w:r>
    </w:p>
    <w:p w14:paraId="5F71DC4C" w14:textId="43F0AA1D" w:rsidR="00EF01E6" w:rsidRPr="00306C05" w:rsidRDefault="00EF01E6" w:rsidP="005952D3">
      <w:pPr>
        <w:spacing w:after="120" w:line="264" w:lineRule="auto"/>
        <w:ind w:firstLine="720"/>
        <w:jc w:val="both"/>
        <w:rPr>
          <w:lang w:val="es-NI"/>
        </w:rPr>
      </w:pPr>
      <w:r w:rsidRPr="00306C05">
        <w:rPr>
          <w:lang w:val="es-NI"/>
        </w:rPr>
        <w:t xml:space="preserve">- </w:t>
      </w:r>
      <w:r w:rsidRPr="00306C05">
        <w:rPr>
          <w:i/>
          <w:iCs/>
          <w:lang w:val="es-NI"/>
        </w:rPr>
        <w:t>Nhóm đồ uống và thuốc lá</w:t>
      </w:r>
      <w:r w:rsidRPr="00306C05">
        <w:rPr>
          <w:lang w:val="es-NI"/>
        </w:rPr>
        <w:t xml:space="preserve"> tăng 0,25% do nhu cầu tiêu dùng tăng cao trong dịp hè và chi phí sản xuất tăng, trong đó giá nước uống tăng lực đóng chai, lon, hộp tăng 0,52%; bia các loại tăng 0,35%; thuốc hút tăng 0,30%; nước giải khát có ga tăng 0,16%; nước khoáng và rượu các loại cùng tăng 0,15%.</w:t>
      </w:r>
    </w:p>
    <w:p w14:paraId="2E1D342A" w14:textId="77777777" w:rsidR="00EF01E6" w:rsidRPr="000A74BB" w:rsidRDefault="00EF01E6" w:rsidP="005952D3">
      <w:pPr>
        <w:spacing w:after="120" w:line="264" w:lineRule="auto"/>
        <w:ind w:firstLine="720"/>
        <w:jc w:val="both"/>
        <w:rPr>
          <w:rFonts w:eastAsia="Calibri"/>
          <w:spacing w:val="-4"/>
          <w:lang w:val="x-none" w:eastAsia="x-none"/>
        </w:rPr>
      </w:pPr>
      <w:r w:rsidRPr="000A74BB">
        <w:rPr>
          <w:rFonts w:eastAsia="Calibri"/>
          <w:spacing w:val="-4"/>
          <w:lang w:val="x-none" w:eastAsia="x-none"/>
        </w:rPr>
        <w:t xml:space="preserve">- </w:t>
      </w:r>
      <w:r w:rsidRPr="000A74BB">
        <w:rPr>
          <w:rFonts w:eastAsia="Calibri"/>
          <w:i/>
          <w:iCs/>
          <w:spacing w:val="-4"/>
          <w:lang w:val="x-none" w:eastAsia="x-none"/>
        </w:rPr>
        <w:t>Nhóm văn hóa, giải trí và du lịch</w:t>
      </w:r>
      <w:r w:rsidRPr="000A74BB">
        <w:rPr>
          <w:rFonts w:eastAsia="Calibri"/>
          <w:spacing w:val="-4"/>
          <w:lang w:val="x-none" w:eastAsia="x-none"/>
        </w:rPr>
        <w:t xml:space="preserve"> tăng 0,2</w:t>
      </w:r>
      <w:r w:rsidRPr="00306C05">
        <w:rPr>
          <w:rFonts w:eastAsia="Calibri"/>
          <w:spacing w:val="-4"/>
          <w:lang w:val="es-NI" w:eastAsia="x-none"/>
        </w:rPr>
        <w:t>0</w:t>
      </w:r>
      <w:r w:rsidRPr="000A74BB">
        <w:rPr>
          <w:rFonts w:eastAsia="Calibri"/>
          <w:spacing w:val="-4"/>
          <w:lang w:val="x-none" w:eastAsia="x-none"/>
        </w:rPr>
        <w:t xml:space="preserve">%, trong đó, giá vé thuê chỗ chơi thể thao tăng 0,34%; phí truyền hình và internet tăng 0,32%; sách báo các loại tăng 0,27%; tua du lịch trọn gói tăng 0,84%. Ngược lại, một số mặt hàng có chỉ số giá giảm như: Thiết bị dụng cụ thể thao giảm 0,12%; đồ chơi trẻ em giảm 0,04%.   </w:t>
      </w:r>
    </w:p>
    <w:p w14:paraId="3166FFF5" w14:textId="77777777" w:rsidR="00EF01E6" w:rsidRPr="000A74BB" w:rsidRDefault="00EF01E6" w:rsidP="005952D3">
      <w:pPr>
        <w:widowControl w:val="0"/>
        <w:spacing w:after="120" w:line="264" w:lineRule="auto"/>
        <w:ind w:firstLine="720"/>
        <w:jc w:val="both"/>
        <w:rPr>
          <w:rFonts w:eastAsia="Calibri"/>
          <w:lang w:eastAsia="x-none"/>
        </w:rPr>
      </w:pPr>
      <w:r w:rsidRPr="000A74BB">
        <w:rPr>
          <w:rFonts w:eastAsia="Calibri"/>
          <w:lang w:val="x-none" w:eastAsia="x-none"/>
        </w:rPr>
        <w:t xml:space="preserve">- </w:t>
      </w:r>
      <w:r w:rsidRPr="000A74BB">
        <w:rPr>
          <w:rFonts w:eastAsia="Calibri"/>
          <w:i/>
          <w:lang w:eastAsia="x-none"/>
        </w:rPr>
        <w:t>Nhóm hàng ăn và dịch vụ ăn uống</w:t>
      </w:r>
      <w:r w:rsidRPr="000A74BB">
        <w:rPr>
          <w:rFonts w:eastAsia="Calibri"/>
          <w:lang w:eastAsia="x-none"/>
        </w:rPr>
        <w:t xml:space="preserve"> tăng 0,18% (</w:t>
      </w:r>
      <w:r w:rsidRPr="000A74BB">
        <w:rPr>
          <w:rFonts w:eastAsia="Calibri"/>
          <w:iCs/>
          <w:lang w:val="x-none" w:eastAsia="x-none"/>
        </w:rPr>
        <w:t>tác động làm CPI chung tăng 0,06 điểm phần trăm)</w:t>
      </w:r>
      <w:r w:rsidRPr="000A74BB">
        <w:rPr>
          <w:rFonts w:eastAsia="Calibri"/>
          <w:lang w:eastAsia="x-none"/>
        </w:rPr>
        <w:t>, trong đó: Lương thực giảm 0,16%</w:t>
      </w:r>
      <w:r w:rsidRPr="000A74BB">
        <w:rPr>
          <w:rFonts w:eastAsia="Calibri"/>
          <w:vertAlign w:val="superscript"/>
          <w:lang w:val="nl-NL" w:eastAsia="x-none"/>
        </w:rPr>
        <w:footnoteReference w:id="20"/>
      </w:r>
      <w:r w:rsidRPr="000A74BB">
        <w:rPr>
          <w:rFonts w:eastAsia="Calibri"/>
          <w:lang w:eastAsia="x-none"/>
        </w:rPr>
        <w:t>; thực phẩm tăng 0,15%</w:t>
      </w:r>
      <w:r w:rsidRPr="000A74BB">
        <w:rPr>
          <w:rFonts w:eastAsia="Calibri"/>
          <w:vertAlign w:val="superscript"/>
          <w:lang w:val="nl-NL" w:eastAsia="x-none"/>
        </w:rPr>
        <w:footnoteReference w:id="21"/>
      </w:r>
      <w:r w:rsidRPr="000A74BB">
        <w:rPr>
          <w:rFonts w:eastAsia="Calibri"/>
          <w:lang w:eastAsia="x-none"/>
        </w:rPr>
        <w:t>; ăn uống ngoài gia đình tăng 0,39%</w:t>
      </w:r>
      <w:r w:rsidRPr="000A74BB">
        <w:rPr>
          <w:rFonts w:eastAsia="Calibri"/>
          <w:vertAlign w:val="superscript"/>
          <w:lang w:val="nl-NL" w:eastAsia="x-none"/>
        </w:rPr>
        <w:footnoteReference w:id="22"/>
      </w:r>
      <w:r w:rsidRPr="000A74BB">
        <w:rPr>
          <w:rFonts w:eastAsia="Calibri"/>
          <w:lang w:eastAsia="x-none"/>
        </w:rPr>
        <w:t xml:space="preserve">.   </w:t>
      </w:r>
    </w:p>
    <w:p w14:paraId="57762588" w14:textId="5494B8F6" w:rsidR="00EF01E6" w:rsidRPr="000A74BB" w:rsidRDefault="00EF01E6" w:rsidP="008B5944">
      <w:pPr>
        <w:widowControl w:val="0"/>
        <w:spacing w:after="120" w:line="271" w:lineRule="auto"/>
        <w:ind w:firstLine="720"/>
        <w:jc w:val="both"/>
        <w:rPr>
          <w:rFonts w:eastAsia="Calibri"/>
          <w:lang w:eastAsia="x-none"/>
        </w:rPr>
      </w:pPr>
      <w:r w:rsidRPr="000A74BB">
        <w:rPr>
          <w:rFonts w:eastAsia="Calibri"/>
          <w:lang w:eastAsia="x-none"/>
        </w:rPr>
        <w:t xml:space="preserve">- </w:t>
      </w:r>
      <w:r w:rsidRPr="000A74BB">
        <w:rPr>
          <w:rFonts w:eastAsia="Calibri"/>
          <w:i/>
          <w:iCs/>
          <w:lang w:eastAsia="x-none"/>
        </w:rPr>
        <w:t>Nhóm thiết bị và đồ dùng gia đình</w:t>
      </w:r>
      <w:r w:rsidRPr="000A74BB">
        <w:rPr>
          <w:rFonts w:eastAsia="Calibri"/>
          <w:lang w:eastAsia="x-none"/>
        </w:rPr>
        <w:t xml:space="preserve"> tăng 0,10%, trong đó, giá thuốc diệt côn trùng tăng 0,43%; pin, đèn pin tăng 0,40%; dụng cụ làm vườn tăng 0,39%; xà phòng, chất tẩy rửa tăng 0,37%; dịch vụ sửa chữa thiết bị trong gia đình tăng </w:t>
      </w:r>
      <w:r w:rsidRPr="000A74BB">
        <w:rPr>
          <w:rFonts w:eastAsia="Calibri"/>
          <w:lang w:eastAsia="x-none"/>
        </w:rPr>
        <w:lastRenderedPageBreak/>
        <w:t xml:space="preserve">0,24%; giường, tủ, bàn, ghế tăng 0,20%; hàng dệt </w:t>
      </w:r>
      <w:r w:rsidR="00164CF6">
        <w:rPr>
          <w:rFonts w:eastAsia="Calibri"/>
          <w:lang w:eastAsia="x-none"/>
        </w:rPr>
        <w:t>dùng trong gia đình</w:t>
      </w:r>
      <w:r w:rsidRPr="000A74BB">
        <w:rPr>
          <w:rFonts w:eastAsia="Calibri"/>
          <w:lang w:eastAsia="x-none"/>
        </w:rPr>
        <w:t xml:space="preserve"> tăng 0,16%; thuê người giúp việc tăng 0,10%; đồ dùng bằng kim loại và hàng thủy tinh sành sứ cùng tăng 0,07%.</w:t>
      </w:r>
    </w:p>
    <w:p w14:paraId="6A8AAFD7" w14:textId="77777777" w:rsidR="00EF01E6" w:rsidRPr="000A74BB" w:rsidRDefault="00EF01E6" w:rsidP="008B5944">
      <w:pPr>
        <w:spacing w:after="120" w:line="271" w:lineRule="auto"/>
        <w:ind w:firstLine="720"/>
        <w:jc w:val="both"/>
        <w:rPr>
          <w:rFonts w:eastAsia="Calibri"/>
          <w:lang w:val="x-none" w:eastAsia="x-none"/>
        </w:rPr>
      </w:pPr>
      <w:r w:rsidRPr="000A74BB">
        <w:rPr>
          <w:rFonts w:eastAsia="Calibri"/>
          <w:lang w:eastAsia="x-none"/>
        </w:rPr>
        <w:t xml:space="preserve">- </w:t>
      </w:r>
      <w:r w:rsidRPr="000A74BB">
        <w:rPr>
          <w:rFonts w:eastAsia="Calibri"/>
          <w:i/>
          <w:iCs/>
          <w:lang w:eastAsia="x-none"/>
        </w:rPr>
        <w:t>N</w:t>
      </w:r>
      <w:r w:rsidRPr="000A74BB">
        <w:rPr>
          <w:rFonts w:eastAsia="Calibri"/>
          <w:i/>
          <w:iCs/>
          <w:lang w:val="vi-VN" w:eastAsia="x-none"/>
        </w:rPr>
        <w:t>hóm may mặc, mũ nón, giày dép</w:t>
      </w:r>
      <w:r w:rsidRPr="000A74BB">
        <w:rPr>
          <w:rFonts w:eastAsia="Calibri"/>
          <w:lang w:val="vi-VN" w:eastAsia="x-none"/>
        </w:rPr>
        <w:t xml:space="preserve"> </w:t>
      </w:r>
      <w:r w:rsidRPr="000A74BB">
        <w:rPr>
          <w:rFonts w:eastAsia="Calibri"/>
          <w:lang w:val="x-none" w:eastAsia="x-none"/>
        </w:rPr>
        <w:t>tăng 0</w:t>
      </w:r>
      <w:r w:rsidRPr="000A74BB">
        <w:rPr>
          <w:rFonts w:eastAsia="Calibri"/>
          <w:lang w:val="vi-VN" w:eastAsia="x-none"/>
        </w:rPr>
        <w:t>,</w:t>
      </w:r>
      <w:r w:rsidRPr="000A74BB">
        <w:rPr>
          <w:rFonts w:eastAsia="Calibri"/>
          <w:lang w:val="x-none" w:eastAsia="x-none"/>
        </w:rPr>
        <w:t>06</w:t>
      </w:r>
      <w:r w:rsidRPr="000A74BB">
        <w:rPr>
          <w:rFonts w:eastAsia="Calibri"/>
          <w:lang w:val="vi-VN" w:eastAsia="x-none"/>
        </w:rPr>
        <w:t>%</w:t>
      </w:r>
      <w:r w:rsidRPr="000A74BB">
        <w:rPr>
          <w:rFonts w:eastAsia="Calibri"/>
          <w:lang w:eastAsia="x-none"/>
        </w:rPr>
        <w:t>, t</w:t>
      </w:r>
      <w:r w:rsidRPr="000A74BB">
        <w:rPr>
          <w:rFonts w:eastAsia="Calibri"/>
          <w:lang w:val="vi-VN" w:eastAsia="x-none"/>
        </w:rPr>
        <w:t xml:space="preserve">rong đó, </w:t>
      </w:r>
      <w:r w:rsidRPr="000A74BB">
        <w:rPr>
          <w:rFonts w:eastAsia="Calibri"/>
          <w:lang w:val="x-none" w:eastAsia="x-none"/>
        </w:rPr>
        <w:t>chỉ số giá dịch vụ giày dép tăng 0,33%; vải các loại tăng 0,2</w:t>
      </w:r>
      <w:r w:rsidRPr="000A74BB">
        <w:rPr>
          <w:rFonts w:eastAsia="Calibri"/>
          <w:lang w:eastAsia="x-none"/>
        </w:rPr>
        <w:t>0</w:t>
      </w:r>
      <w:r w:rsidRPr="000A74BB">
        <w:rPr>
          <w:rFonts w:eastAsia="Calibri"/>
          <w:lang w:val="x-none" w:eastAsia="x-none"/>
        </w:rPr>
        <w:t>%; mũ nón tăng 0,15%; quần áo may sẵn tăng 0,06%; dịch vụ may mặc tăng 0,05%; may mặc khác tăng 0,04%; giày dép tăng 0,02%.</w:t>
      </w:r>
    </w:p>
    <w:p w14:paraId="6588B859" w14:textId="68888550" w:rsidR="00EF01E6" w:rsidRPr="000A74BB" w:rsidRDefault="00EF01E6" w:rsidP="008B5944">
      <w:pPr>
        <w:spacing w:after="120" w:line="271" w:lineRule="auto"/>
        <w:ind w:firstLine="720"/>
        <w:jc w:val="both"/>
        <w:rPr>
          <w:rFonts w:eastAsia="Calibri"/>
          <w:lang w:val="x-none" w:eastAsia="x-none"/>
        </w:rPr>
      </w:pPr>
      <w:r w:rsidRPr="000A74BB">
        <w:rPr>
          <w:rFonts w:eastAsia="Calibri"/>
          <w:lang w:eastAsia="x-none"/>
        </w:rPr>
        <w:t xml:space="preserve">- </w:t>
      </w:r>
      <w:r w:rsidRPr="000A74BB">
        <w:rPr>
          <w:rFonts w:eastAsia="Calibri"/>
          <w:i/>
          <w:iCs/>
          <w:lang w:val="x-none" w:eastAsia="x-none"/>
        </w:rPr>
        <w:t>Nhóm thuốc và dịch vụ y tế</w:t>
      </w:r>
      <w:r w:rsidRPr="000A74BB">
        <w:rPr>
          <w:rFonts w:eastAsia="Calibri"/>
          <w:lang w:val="x-none" w:eastAsia="x-none"/>
        </w:rPr>
        <w:t xml:space="preserve"> tăng 0,03% do tỷ giá tăng ảnh hưởng đến chi phí nhập khẩu dược phẩm và các nguyên phụ liệu. Trong đó, dụng cụ y tế tăng 0,23%; nhóm vitamin và khoáng chất tăng 0,22%; thuốc giảm đau, hạ sốt chống viêm không steroid</w:t>
      </w:r>
      <w:r w:rsidR="00F93032">
        <w:rPr>
          <w:rFonts w:eastAsia="Calibri"/>
          <w:lang w:val="x-none" w:eastAsia="x-none"/>
        </w:rPr>
        <w:t>,</w:t>
      </w:r>
      <w:r w:rsidRPr="000A74BB">
        <w:rPr>
          <w:rFonts w:eastAsia="Calibri"/>
          <w:lang w:val="x-none" w:eastAsia="x-none"/>
        </w:rPr>
        <w:t xml:space="preserve"> thuốc điều trị gút và các bệnh xương tăng 0,21%; thuốc chống nhiễm, điều trị ký sinh trùng tăng 0,16%; thuốc tác dụng lên đường hô hấp và thuốc đường tiêu hóa cùng tăng 0,11%.</w:t>
      </w:r>
    </w:p>
    <w:p w14:paraId="49152817" w14:textId="77777777" w:rsidR="00EF01E6" w:rsidRPr="000A74BB" w:rsidRDefault="00EF01E6" w:rsidP="008B5944">
      <w:pPr>
        <w:spacing w:after="120" w:line="271" w:lineRule="auto"/>
        <w:ind w:firstLine="720"/>
        <w:jc w:val="both"/>
        <w:rPr>
          <w:rFonts w:eastAsia="Calibri"/>
          <w:bCs/>
          <w:lang w:val="x-none" w:eastAsia="x-none"/>
        </w:rPr>
      </w:pPr>
      <w:r w:rsidRPr="000A74BB">
        <w:rPr>
          <w:rFonts w:eastAsia="Calibri"/>
          <w:lang w:eastAsia="x-none"/>
        </w:rPr>
        <w:t xml:space="preserve">- </w:t>
      </w:r>
      <w:r w:rsidRPr="000A74BB">
        <w:rPr>
          <w:rFonts w:eastAsia="Calibri"/>
          <w:i/>
          <w:iCs/>
          <w:lang w:eastAsia="x-none"/>
        </w:rPr>
        <w:t>N</w:t>
      </w:r>
      <w:r w:rsidRPr="000A74BB">
        <w:rPr>
          <w:rFonts w:eastAsia="Calibri"/>
          <w:bCs/>
          <w:i/>
          <w:iCs/>
          <w:lang w:val="x-none" w:eastAsia="x-none"/>
        </w:rPr>
        <w:t>hóm giáo dục</w:t>
      </w:r>
      <w:r w:rsidRPr="000A74BB">
        <w:rPr>
          <w:rFonts w:eastAsia="Calibri"/>
          <w:bCs/>
          <w:lang w:val="x-none" w:eastAsia="x-none"/>
        </w:rPr>
        <w:t xml:space="preserve"> tăng nhẹ 0,01%, trong đó, </w:t>
      </w:r>
      <w:r w:rsidRPr="000A74BB">
        <w:rPr>
          <w:rFonts w:eastAsia="Calibri"/>
          <w:iCs/>
          <w:lang w:val="vi-VN" w:eastAsia="x-none"/>
        </w:rPr>
        <w:t xml:space="preserve">giá </w:t>
      </w:r>
      <w:r w:rsidRPr="000A74BB">
        <w:rPr>
          <w:rFonts w:eastAsia="Calibri"/>
          <w:iCs/>
          <w:lang w:val="x-none" w:eastAsia="x-none"/>
        </w:rPr>
        <w:t xml:space="preserve">văn phòng phẩm tăng 0,03%, cụ thể: Giá </w:t>
      </w:r>
      <w:r w:rsidRPr="000A74BB">
        <w:rPr>
          <w:rFonts w:eastAsia="Calibri"/>
          <w:bCs/>
          <w:lang w:val="x-none" w:eastAsia="x-none"/>
        </w:rPr>
        <w:t>b</w:t>
      </w:r>
      <w:r w:rsidRPr="000A74BB">
        <w:rPr>
          <w:rFonts w:eastAsia="Calibri"/>
          <w:iCs/>
          <w:lang w:val="x-none" w:eastAsia="x-none"/>
        </w:rPr>
        <w:t>út viết các loại tăng 0,16%; sản phẩm từ giấy và</w:t>
      </w:r>
      <w:r w:rsidRPr="000A74BB">
        <w:rPr>
          <w:rFonts w:eastAsia="Calibri"/>
          <w:bCs/>
          <w:lang w:val="x-none" w:eastAsia="x-none"/>
        </w:rPr>
        <w:t xml:space="preserve"> </w:t>
      </w:r>
      <w:r w:rsidRPr="000A74BB">
        <w:rPr>
          <w:rFonts w:eastAsia="Calibri"/>
          <w:iCs/>
          <w:lang w:val="x-none" w:eastAsia="x-none"/>
        </w:rPr>
        <w:t xml:space="preserve">văn phòng phẩm và đồ dùng học tập khác cùng tăng 0,08%. </w:t>
      </w:r>
    </w:p>
    <w:p w14:paraId="4BAFDA90" w14:textId="77777777" w:rsidR="00EF01E6" w:rsidRPr="000A74BB" w:rsidRDefault="00EF01E6" w:rsidP="008B5944">
      <w:pPr>
        <w:tabs>
          <w:tab w:val="left" w:pos="993"/>
        </w:tabs>
        <w:spacing w:after="120" w:line="271" w:lineRule="auto"/>
        <w:ind w:firstLine="720"/>
        <w:jc w:val="both"/>
        <w:rPr>
          <w:rFonts w:eastAsia="Calibri"/>
          <w:lang w:val="es-NI" w:eastAsia="x-none"/>
        </w:rPr>
      </w:pPr>
      <w:r w:rsidRPr="000A74BB">
        <w:rPr>
          <w:rFonts w:eastAsia="Calibri"/>
          <w:lang w:val="nl-NL" w:eastAsia="x-none"/>
        </w:rPr>
        <w:t>(2)</w:t>
      </w:r>
      <w:r w:rsidRPr="000A74BB">
        <w:rPr>
          <w:rFonts w:eastAsia="Calibri"/>
          <w:i/>
          <w:lang w:val="nl-NL" w:eastAsia="x-none"/>
        </w:rPr>
        <w:t xml:space="preserve"> </w:t>
      </w:r>
      <w:r w:rsidRPr="000A74BB">
        <w:rPr>
          <w:rFonts w:eastAsia="Calibri"/>
          <w:lang w:val="es-NI" w:eastAsia="x-none"/>
        </w:rPr>
        <w:t>Hai nhóm hàng hóa và dịch vụ có chỉ số giá giảm gồm:</w:t>
      </w:r>
    </w:p>
    <w:p w14:paraId="3460A8D8" w14:textId="77777777" w:rsidR="00EF01E6" w:rsidRPr="000A74BB" w:rsidRDefault="00EF01E6" w:rsidP="008B5944">
      <w:pPr>
        <w:spacing w:after="120" w:line="271" w:lineRule="auto"/>
        <w:ind w:firstLine="720"/>
        <w:jc w:val="both"/>
        <w:rPr>
          <w:rFonts w:eastAsia="Calibri"/>
          <w:lang w:val="x-none" w:eastAsia="x-none"/>
        </w:rPr>
      </w:pPr>
      <w:r w:rsidRPr="00306C05">
        <w:rPr>
          <w:rFonts w:eastAsia="Calibri"/>
          <w:lang w:val="es-NI" w:eastAsia="x-none"/>
        </w:rPr>
        <w:t xml:space="preserve">- </w:t>
      </w:r>
      <w:r w:rsidRPr="000A74BB">
        <w:rPr>
          <w:rFonts w:eastAsia="Calibri"/>
          <w:i/>
          <w:iCs/>
          <w:lang w:val="vi-VN" w:eastAsia="x-none"/>
        </w:rPr>
        <w:t>Nhóm bưu chính, viễn thông</w:t>
      </w:r>
      <w:r w:rsidRPr="000A74BB">
        <w:rPr>
          <w:rFonts w:eastAsia="Calibri"/>
          <w:lang w:val="vi-VN" w:eastAsia="x-none"/>
        </w:rPr>
        <w:t xml:space="preserve"> </w:t>
      </w:r>
      <w:r w:rsidRPr="000A74BB">
        <w:rPr>
          <w:rFonts w:eastAsia="Calibri"/>
          <w:lang w:val="x-none" w:eastAsia="x-none"/>
        </w:rPr>
        <w:t>giảm 0,15</w:t>
      </w:r>
      <w:r w:rsidRPr="000A74BB">
        <w:rPr>
          <w:rFonts w:eastAsia="Calibri"/>
          <w:lang w:val="vi-VN" w:eastAsia="x-none"/>
        </w:rPr>
        <w:t>%</w:t>
      </w:r>
      <w:r w:rsidRPr="00306C05">
        <w:rPr>
          <w:rFonts w:eastAsia="Calibri"/>
          <w:lang w:val="es-NI" w:eastAsia="x-none"/>
        </w:rPr>
        <w:t>,</w:t>
      </w:r>
      <w:r w:rsidRPr="000A74BB">
        <w:rPr>
          <w:rFonts w:eastAsia="Calibri"/>
          <w:lang w:val="vi-VN" w:eastAsia="x-none"/>
        </w:rPr>
        <w:t xml:space="preserve"> </w:t>
      </w:r>
      <w:r w:rsidRPr="000A74BB">
        <w:rPr>
          <w:rFonts w:eastAsia="Calibri"/>
          <w:lang w:val="x-none" w:eastAsia="x-none"/>
        </w:rPr>
        <w:t>trong đó, phụ kiện máy điện thoại di động thông minh và máy tính bảng giảm 1,89%; máy điện thoại di động thông minh và máy tính bảng giảm 0,71%; điện thoại di động thông thường giảm 0,41%; điện thoại cố định giảm 0,01%. Riêng giá sửa chữa điện thoại tăng 0,29%.</w:t>
      </w:r>
    </w:p>
    <w:p w14:paraId="7B3A3AD6" w14:textId="233C1A50" w:rsidR="00EF01E6" w:rsidRPr="000A74BB" w:rsidRDefault="00EF01E6" w:rsidP="008B5944">
      <w:pPr>
        <w:spacing w:after="120" w:line="271" w:lineRule="auto"/>
        <w:ind w:firstLine="720"/>
        <w:jc w:val="both"/>
        <w:rPr>
          <w:rFonts w:eastAsia="Calibri"/>
          <w:lang w:val="x-none" w:eastAsia="x-none"/>
        </w:rPr>
      </w:pPr>
      <w:r w:rsidRPr="000A74BB">
        <w:rPr>
          <w:rFonts w:eastAsia="Calibri"/>
          <w:lang w:eastAsia="x-none"/>
        </w:rPr>
        <w:t xml:space="preserve">- </w:t>
      </w:r>
      <w:r w:rsidRPr="000A74BB">
        <w:rPr>
          <w:rFonts w:eastAsia="Calibri"/>
          <w:i/>
          <w:iCs/>
          <w:lang w:eastAsia="x-none"/>
        </w:rPr>
        <w:t>N</w:t>
      </w:r>
      <w:r w:rsidRPr="000A74BB">
        <w:rPr>
          <w:rFonts w:eastAsia="Calibri"/>
          <w:i/>
          <w:iCs/>
          <w:lang w:val="vi-VN" w:eastAsia="x-none"/>
        </w:rPr>
        <w:t>hóm giao thông</w:t>
      </w:r>
      <w:r w:rsidRPr="000A74BB">
        <w:rPr>
          <w:rFonts w:eastAsia="Calibri"/>
          <w:lang w:val="vi-VN" w:eastAsia="x-none"/>
        </w:rPr>
        <w:t xml:space="preserve"> </w:t>
      </w:r>
      <w:r w:rsidRPr="000A74BB">
        <w:rPr>
          <w:rFonts w:eastAsia="Calibri"/>
          <w:lang w:val="x-none" w:eastAsia="x-none"/>
        </w:rPr>
        <w:t>giảm</w:t>
      </w:r>
      <w:r w:rsidRPr="000A74BB">
        <w:rPr>
          <w:rFonts w:eastAsia="Calibri"/>
          <w:lang w:val="vi-VN" w:eastAsia="x-none"/>
        </w:rPr>
        <w:t xml:space="preserve"> </w:t>
      </w:r>
      <w:r w:rsidRPr="000A74BB">
        <w:rPr>
          <w:rFonts w:eastAsia="Calibri"/>
          <w:lang w:val="x-none" w:eastAsia="x-none"/>
        </w:rPr>
        <w:t>0,48</w:t>
      </w:r>
      <w:r w:rsidRPr="000A74BB">
        <w:rPr>
          <w:rFonts w:eastAsia="Calibri"/>
          <w:lang w:val="vi-VN" w:eastAsia="x-none"/>
        </w:rPr>
        <w:t>%</w:t>
      </w:r>
      <w:r w:rsidRPr="000A74BB">
        <w:rPr>
          <w:rFonts w:eastAsia="Calibri"/>
          <w:lang w:eastAsia="x-none"/>
        </w:rPr>
        <w:t xml:space="preserve"> (</w:t>
      </w:r>
      <w:r w:rsidRPr="000A74BB">
        <w:rPr>
          <w:rFonts w:eastAsia="Calibri"/>
          <w:lang w:val="x-none" w:eastAsia="x-none"/>
        </w:rPr>
        <w:t>tác động làm CPI chung giảm 0,05 điểm phần trăm). Trong đó, chỉ số giá xăng</w:t>
      </w:r>
      <w:r w:rsidRPr="000A74BB">
        <w:rPr>
          <w:rFonts w:eastAsia="Calibri"/>
          <w:lang w:val="vi-VN" w:eastAsia="x-none"/>
        </w:rPr>
        <w:t xml:space="preserve"> </w:t>
      </w:r>
      <w:r w:rsidRPr="000A74BB">
        <w:rPr>
          <w:rFonts w:eastAsia="Calibri"/>
          <w:lang w:val="x-none" w:eastAsia="x-none"/>
        </w:rPr>
        <w:t>giảm 1,5</w:t>
      </w:r>
      <w:r w:rsidRPr="000A74BB">
        <w:rPr>
          <w:rFonts w:eastAsia="Calibri"/>
          <w:lang w:eastAsia="x-none"/>
        </w:rPr>
        <w:t>0</w:t>
      </w:r>
      <w:r w:rsidRPr="000A74BB">
        <w:rPr>
          <w:rFonts w:eastAsia="Calibri"/>
          <w:lang w:val="vi-VN" w:eastAsia="x-none"/>
        </w:rPr>
        <w:t>% do ảnh hưởng của các đợt điều chỉnh giá xăng dầu trong nước</w:t>
      </w:r>
      <w:r w:rsidRPr="000A74BB">
        <w:rPr>
          <w:rFonts w:eastAsia="Calibri"/>
          <w:lang w:val="x-none" w:eastAsia="x-none"/>
        </w:rPr>
        <w:t xml:space="preserve"> theo sát diễn biến thị trường thế giới</w:t>
      </w:r>
      <w:r w:rsidRPr="000A74BB">
        <w:rPr>
          <w:rFonts w:eastAsia="Calibri"/>
          <w:lang w:val="vi-VN" w:eastAsia="x-none"/>
        </w:rPr>
        <w:t xml:space="preserve">. </w:t>
      </w:r>
      <w:r w:rsidRPr="000A74BB">
        <w:rPr>
          <w:rFonts w:eastAsia="Calibri"/>
          <w:lang w:val="x-none" w:eastAsia="x-none"/>
        </w:rPr>
        <w:t>Thêm vào đó, giá xe ô tô đã qua sử dụng giảm 0,45%; xe tô tô mới và xe máy cùng giảm 0,1</w:t>
      </w:r>
      <w:r w:rsidRPr="00306C05">
        <w:rPr>
          <w:rFonts w:eastAsia="Calibri"/>
          <w:lang w:val="vi-VN" w:eastAsia="x-none"/>
        </w:rPr>
        <w:t>0</w:t>
      </w:r>
      <w:r w:rsidRPr="000A74BB">
        <w:rPr>
          <w:rFonts w:eastAsia="Calibri"/>
          <w:lang w:val="x-none" w:eastAsia="x-none"/>
        </w:rPr>
        <w:t xml:space="preserve">% do doanh nghiệp áp dụng chương trình ưu đãi, hỗ trợ người tiêu dùng mua sắm. Ở chiều ngược lại, một số nhóm hàng có chỉ số giá tăng: Giá vận tải hành khách bằng đường sắt tăng 10,08%; vận tải hành khách bằng đường hàng không tăng 5,43%; vận tải hành khách bằng đường thủy tăng 0,21%; vận tải hành khách bằng đường bộ tăng 0,15% do nhu cầu đi lại trong dịp hè cao. Giá nhóm phụ tùng tăng 0,32%; lốp, săm xe máy tăng 0,24%; lốp, săm xe đạp tăng 0,16% do chi phí nhập khẩu linh kiện tăng. </w:t>
      </w:r>
    </w:p>
    <w:p w14:paraId="03F011D1" w14:textId="53CA278F" w:rsidR="00EF01E6" w:rsidRPr="000A74BB" w:rsidRDefault="00EF01E6" w:rsidP="008B5944">
      <w:pPr>
        <w:spacing w:after="120" w:line="271" w:lineRule="auto"/>
        <w:ind w:firstLine="720"/>
        <w:jc w:val="both"/>
        <w:rPr>
          <w:rFonts w:eastAsia="Calibri"/>
          <w:lang w:val="x-none" w:eastAsia="x-none"/>
        </w:rPr>
      </w:pPr>
      <w:r w:rsidRPr="000A74BB">
        <w:rPr>
          <w:rFonts w:eastAsia="Calibri"/>
          <w:lang w:val="pl-PL" w:eastAsia="x-none"/>
        </w:rPr>
        <w:t>Lạm phát cơ bản</w:t>
      </w:r>
      <w:r w:rsidRPr="000A74BB">
        <w:rPr>
          <w:rFonts w:eastAsia="Calibri"/>
          <w:sz w:val="24"/>
          <w:szCs w:val="24"/>
          <w:vertAlign w:val="superscript"/>
          <w:lang w:val="x-none" w:eastAsia="x-none"/>
        </w:rPr>
        <w:footnoteReference w:id="23"/>
      </w:r>
      <w:r w:rsidRPr="000A74BB">
        <w:rPr>
          <w:rFonts w:eastAsia="Calibri"/>
          <w:lang w:val="pl-PL" w:eastAsia="x-none"/>
        </w:rPr>
        <w:t xml:space="preserve"> tháng </w:t>
      </w:r>
      <w:r w:rsidR="00BD5E18">
        <w:rPr>
          <w:rFonts w:eastAsia="Calibri"/>
          <w:lang w:val="pl-PL" w:eastAsia="x-none"/>
        </w:rPr>
        <w:t>Bảy</w:t>
      </w:r>
      <w:r w:rsidRPr="000A74BB">
        <w:rPr>
          <w:rFonts w:eastAsia="Calibri"/>
          <w:lang w:val="pl-PL" w:eastAsia="x-none"/>
        </w:rPr>
        <w:t xml:space="preserve"> </w:t>
      </w:r>
      <w:r w:rsidRPr="000A74BB">
        <w:rPr>
          <w:rFonts w:eastAsia="Calibri"/>
          <w:lang w:val="vi-VN" w:eastAsia="x-none"/>
        </w:rPr>
        <w:t xml:space="preserve">tăng </w:t>
      </w:r>
      <w:r w:rsidRPr="000A74BB">
        <w:rPr>
          <w:rFonts w:eastAsia="Calibri"/>
          <w:lang w:val="pl-PL" w:eastAsia="x-none"/>
        </w:rPr>
        <w:t>0,21%</w:t>
      </w:r>
      <w:r w:rsidRPr="000A74BB">
        <w:rPr>
          <w:rFonts w:eastAsia="Calibri"/>
          <w:lang w:val="vi-VN" w:eastAsia="x-none"/>
        </w:rPr>
        <w:t xml:space="preserve"> so </w:t>
      </w:r>
      <w:r w:rsidRPr="000A74BB">
        <w:rPr>
          <w:rFonts w:eastAsia="Calibri"/>
          <w:lang w:val="pl-PL" w:eastAsia="x-none"/>
        </w:rPr>
        <w:t>với tháng trước và</w:t>
      </w:r>
      <w:r w:rsidRPr="000A74BB">
        <w:rPr>
          <w:rFonts w:eastAsia="Calibri"/>
          <w:lang w:val="vi-VN" w:eastAsia="x-none"/>
        </w:rPr>
        <w:t xml:space="preserve"> tăng </w:t>
      </w:r>
      <w:r w:rsidRPr="000A74BB">
        <w:rPr>
          <w:rFonts w:eastAsia="Calibri"/>
          <w:lang w:val="x-none" w:eastAsia="x-none"/>
        </w:rPr>
        <w:t>3</w:t>
      </w:r>
      <w:r w:rsidRPr="000A74BB">
        <w:rPr>
          <w:rFonts w:eastAsia="Calibri"/>
          <w:lang w:val="pl-PL" w:eastAsia="x-none"/>
        </w:rPr>
        <w:t xml:space="preserve">,3% so với cùng kỳ năm trước. Bình quân bảy tháng năm 2025, lạm phát cơ bản tăng 3,18% so với cùng kỳ năm trước, thấp hơn mức tăng 3,26% của CPI bình quân </w:t>
      </w:r>
      <w:r w:rsidRPr="000A74BB">
        <w:rPr>
          <w:rFonts w:eastAsia="Calibri"/>
          <w:lang w:val="pl-PL" w:eastAsia="x-none"/>
        </w:rPr>
        <w:lastRenderedPageBreak/>
        <w:t>chung, nguyên nhân chủ yếu do giá lương thực, thực phẩm, điện sinh hoạt, giá dịch vụ y tế, dịch vụ giáo dục là yếu tố tác động làm tăng CPI nhưng thuộc nhóm hàng được loại trừ trong danh mục tính lạm phát cơ bản.</w:t>
      </w:r>
      <w:r w:rsidRPr="000A74BB">
        <w:rPr>
          <w:rFonts w:eastAsia="Calibri"/>
          <w:lang w:val="x-none" w:eastAsia="x-none"/>
        </w:rPr>
        <w:t xml:space="preserve"> </w:t>
      </w:r>
    </w:p>
    <w:p w14:paraId="2BE82BF6" w14:textId="2E6D43E7" w:rsidR="00EF01E6" w:rsidRPr="000A74BB" w:rsidRDefault="00EF01E6" w:rsidP="008B5944">
      <w:pPr>
        <w:spacing w:after="120" w:line="271" w:lineRule="auto"/>
        <w:ind w:firstLine="720"/>
        <w:jc w:val="both"/>
        <w:rPr>
          <w:lang w:val="de-DE"/>
        </w:rPr>
      </w:pPr>
      <w:r w:rsidRPr="000A74BB">
        <w:rPr>
          <w:lang w:val="de-DE"/>
        </w:rPr>
        <w:t xml:space="preserve">Tính đến ngày 31/7/2025, bình quân giá vàng thế giới ở mức 3.369 USD/ounce, giảm nhẹ 0,02% so với tháng 6/2025. Trong tháng Bảy, kỳ vọng lạm phát tại Mỹ và châu Âu không có nhiều thay đổi; Cục Dự trữ Liên bang Mỹ (FED) giữ nguyên lãi suất cơ bản. Ngoài ra, nhu cầu đầu tư vào vàng vật chất tại các thị trường lớn như Trung Quốc và Ấn Độ không có sự đột biến, góp phần duy trì mặt bằng giá ổn định. Trong nước, chỉ số giá vàng tháng </w:t>
      </w:r>
      <w:r w:rsidR="00BD5E18">
        <w:rPr>
          <w:lang w:val="de-DE"/>
        </w:rPr>
        <w:t>Bảy</w:t>
      </w:r>
      <w:r w:rsidRPr="000A74BB">
        <w:rPr>
          <w:lang w:val="de-DE"/>
        </w:rPr>
        <w:t xml:space="preserve"> tăng 1,02% so với tháng 6/2025 do số lượng vàng miếng lưu thông trên thị trường thấp; tăng 49,7% so với cùng kỳ năm trước; tăng 34,9% so với tháng 12/2024; bình quân bảy tháng năm 2025 tăng 39,09%.</w:t>
      </w:r>
    </w:p>
    <w:p w14:paraId="04EB3637" w14:textId="30D2B5E2" w:rsidR="00EF01E6" w:rsidRPr="000A74BB" w:rsidRDefault="00EF01E6" w:rsidP="008B5944">
      <w:pPr>
        <w:spacing w:after="120" w:line="271" w:lineRule="auto"/>
        <w:ind w:firstLine="720"/>
        <w:jc w:val="both"/>
        <w:rPr>
          <w:lang w:val="de-DE"/>
        </w:rPr>
      </w:pPr>
      <w:r w:rsidRPr="000A74BB">
        <w:rPr>
          <w:lang w:val="de-DE"/>
        </w:rPr>
        <w:t xml:space="preserve"> Giá đô la Mỹ trong nước biến động ngược chiều với giá thế giới. Tính đến ngày 31/7/2025, chỉ số giá đô la Mỹ trên thị trường quốc tế đạt mức 97,61 điểm, giảm 1,0% so với tháng trước do thị trường gia tăng kỳ vọng FED sẽ sớm nới lỏng chính sách tiền tệ để hỗ trợ tăng trưởng làm giảm sức hấp dẫn của đồng USD. Trong nước, chỉ số giá đô la Mỹ tháng </w:t>
      </w:r>
      <w:r w:rsidR="00BD5E18">
        <w:rPr>
          <w:lang w:val="de-DE"/>
        </w:rPr>
        <w:t xml:space="preserve">Bảy </w:t>
      </w:r>
      <w:r w:rsidRPr="000A74BB">
        <w:rPr>
          <w:lang w:val="de-DE"/>
        </w:rPr>
        <w:t>tăng 0,37% so với tháng trước; tăng 3,39% so với cùng kỳ năm trước; tăng 3,3% so với tháng 12/2024; bình quân bảy tháng năm 2025 tăng 3,32%.</w:t>
      </w:r>
    </w:p>
    <w:p w14:paraId="1E8918A7" w14:textId="3CD674E0" w:rsidR="00EF01E6" w:rsidRPr="00306C05" w:rsidRDefault="00EF01E6" w:rsidP="008B5944">
      <w:pPr>
        <w:spacing w:after="120" w:line="271" w:lineRule="auto"/>
        <w:ind w:firstLine="720"/>
        <w:jc w:val="both"/>
        <w:rPr>
          <w:b/>
          <w:bCs/>
          <w:lang w:val="de-DE"/>
        </w:rPr>
      </w:pPr>
      <w:r w:rsidRPr="000A74BB">
        <w:rPr>
          <w:b/>
          <w:bCs/>
          <w:i/>
          <w:iCs/>
          <w:lang w:val="vi-VN"/>
        </w:rPr>
        <w:t>d) Vận tải hành khách và hàng hóa</w:t>
      </w:r>
    </w:p>
    <w:p w14:paraId="0C8374FF" w14:textId="79B02F58" w:rsidR="00EF01E6" w:rsidRPr="00306C05" w:rsidRDefault="00EF01E6" w:rsidP="008B5944">
      <w:pPr>
        <w:tabs>
          <w:tab w:val="left" w:pos="567"/>
        </w:tabs>
        <w:spacing w:after="120" w:line="271" w:lineRule="auto"/>
        <w:ind w:firstLine="720"/>
        <w:jc w:val="both"/>
        <w:rPr>
          <w:rFonts w:eastAsia="Calibri"/>
          <w:bCs/>
          <w:i/>
          <w:lang w:val="de-DE"/>
        </w:rPr>
      </w:pPr>
      <w:r w:rsidRPr="00306C05">
        <w:rPr>
          <w:rFonts w:eastAsia="Calibri"/>
          <w:bCs/>
          <w:i/>
          <w:lang w:val="de-DE"/>
        </w:rPr>
        <w:t>Hoạt động vận tải tháng Bảy tiếp tục sôi động, đáp ứng nhu cầu đi lại, du lịch của người dân trong nước cũng như khách quốc tế đến Việt Nam, phục vụ sản xuất và xuất, nhập khẩu hàng hóa. So với cùng kỳ năm trước, vận tải hành khách tháng Bảy tăng 23,8% về vận chuyển và tăng 1</w:t>
      </w:r>
      <w:r w:rsidR="00547B59" w:rsidRPr="00306C05">
        <w:rPr>
          <w:rFonts w:eastAsia="Calibri"/>
          <w:bCs/>
          <w:i/>
          <w:lang w:val="de-DE"/>
        </w:rPr>
        <w:t>3,3</w:t>
      </w:r>
      <w:r w:rsidRPr="00306C05">
        <w:rPr>
          <w:rFonts w:eastAsia="Calibri"/>
          <w:bCs/>
          <w:i/>
          <w:lang w:val="de-DE"/>
        </w:rPr>
        <w:t xml:space="preserve">% về luân chuyển; vận tải hàng hóa tăng 14,1% về vận chuyển và tăng 12,8% về luân chuyển. </w:t>
      </w:r>
    </w:p>
    <w:p w14:paraId="2A2C0233" w14:textId="77777777" w:rsidR="00EF01E6" w:rsidRPr="00306C05" w:rsidRDefault="00EF01E6" w:rsidP="008B5944">
      <w:pPr>
        <w:tabs>
          <w:tab w:val="left" w:pos="567"/>
        </w:tabs>
        <w:spacing w:after="120" w:line="271" w:lineRule="auto"/>
        <w:ind w:firstLine="720"/>
        <w:jc w:val="both"/>
        <w:rPr>
          <w:rFonts w:eastAsia="Calibri"/>
          <w:i/>
          <w:lang w:val="de-DE"/>
        </w:rPr>
      </w:pPr>
      <w:r w:rsidRPr="00306C05">
        <w:rPr>
          <w:rFonts w:eastAsia="Calibri"/>
          <w:bCs/>
          <w:i/>
          <w:lang w:val="de-DE"/>
        </w:rPr>
        <w:t xml:space="preserve">Tính chung bảy tháng năm 2025, vận chuyển hành khách </w:t>
      </w:r>
      <w:r w:rsidRPr="00306C05">
        <w:rPr>
          <w:rFonts w:eastAsia="Calibri"/>
          <w:i/>
          <w:lang w:val="de-DE"/>
        </w:rPr>
        <w:t>tăng 21,5% và luân chuyển tăng 13,7% so với cùng kỳ năm trước; vận chuyển hàng hóa tăng 13,7% và luân chuyển tăng 13,6%.</w:t>
      </w:r>
    </w:p>
    <w:p w14:paraId="755D34C4" w14:textId="77777777" w:rsidR="00EF01E6" w:rsidRPr="00306C05" w:rsidRDefault="00EF01E6" w:rsidP="008B5944">
      <w:pPr>
        <w:spacing w:after="120" w:line="271" w:lineRule="auto"/>
        <w:ind w:firstLine="720"/>
        <w:jc w:val="both"/>
        <w:rPr>
          <w:spacing w:val="-2"/>
          <w:lang w:val="de-DE"/>
        </w:rPr>
      </w:pPr>
      <w:r w:rsidRPr="00306C05">
        <w:rPr>
          <w:i/>
          <w:spacing w:val="-2"/>
          <w:lang w:val="de-DE"/>
        </w:rPr>
        <w:t xml:space="preserve">Vận tải hành khách </w:t>
      </w:r>
      <w:r w:rsidRPr="00306C05">
        <w:rPr>
          <w:spacing w:val="-2"/>
          <w:lang w:val="de-DE"/>
        </w:rPr>
        <w:t xml:space="preserve">tháng Bảy ước đạt 537,9 triệu lượt khách vận chuyển, tăng 2,1% so với tháng trước và luân chuyển 27,6 tỷ lượt khách.km, tăng 2,9%. Tính chung bảy tháng năm 2025, vận tải hành khách ước đạt 3.401,7 triệu lượt khách vận chuyển, tăng 21,5% so với cùng kỳ năm trước và luân chuyển đạt 179,8 tỷ lượt khách.km, tăng 13,7%. Trong đó, vận tải trong nước ước đạt 3.390,4 triệu lượt khách vận chuyển, tăng 21,6% so với cùng kỳ năm trước và 144,0 tỷ lượt khách.km luân chuyển, tăng 15,4%; vận tải ngoài nước ước đạt 11,2 triệu lượt khách vận chuyển, tăng 8,2% và 35,8 tỷ lượt khách.km luân chuyển, tăng 7,2%. </w:t>
      </w:r>
    </w:p>
    <w:p w14:paraId="62FF6C51" w14:textId="77777777" w:rsidR="00D20D50" w:rsidRDefault="00D20D50" w:rsidP="00EF01E6">
      <w:pPr>
        <w:tabs>
          <w:tab w:val="left" w:pos="567"/>
        </w:tabs>
        <w:spacing w:before="120" w:after="240"/>
        <w:jc w:val="center"/>
        <w:rPr>
          <w:rFonts w:ascii="Arial" w:hAnsi="Arial" w:cs="Arial"/>
          <w:b/>
          <w:spacing w:val="-2"/>
          <w:sz w:val="24"/>
          <w:szCs w:val="20"/>
          <w:lang w:val="de-DE"/>
        </w:rPr>
      </w:pPr>
    </w:p>
    <w:p w14:paraId="13BE4608" w14:textId="62FB6FDD" w:rsidR="00EF01E6" w:rsidRPr="00306C05" w:rsidRDefault="00EF01E6" w:rsidP="00EF01E6">
      <w:pPr>
        <w:tabs>
          <w:tab w:val="left" w:pos="567"/>
        </w:tabs>
        <w:spacing w:before="120" w:after="240"/>
        <w:jc w:val="center"/>
        <w:rPr>
          <w:rFonts w:ascii="Arial" w:hAnsi="Arial" w:cs="Arial"/>
          <w:b/>
          <w:bCs/>
          <w:sz w:val="24"/>
          <w:szCs w:val="24"/>
          <w:lang w:val="de-DE"/>
        </w:rPr>
      </w:pPr>
      <w:r w:rsidRPr="00306C05">
        <w:rPr>
          <w:rFonts w:ascii="Arial" w:hAnsi="Arial" w:cs="Arial"/>
          <w:b/>
          <w:spacing w:val="-2"/>
          <w:sz w:val="24"/>
          <w:szCs w:val="20"/>
          <w:lang w:val="de-DE"/>
        </w:rPr>
        <w:lastRenderedPageBreak/>
        <w:t xml:space="preserve">Biểu 6. </w:t>
      </w:r>
      <w:r w:rsidRPr="00306C05">
        <w:rPr>
          <w:rFonts w:ascii="Arial" w:hAnsi="Arial" w:cs="Arial"/>
          <w:b/>
          <w:bCs/>
          <w:sz w:val="24"/>
          <w:szCs w:val="24"/>
          <w:lang w:val="de-DE"/>
        </w:rPr>
        <w:t>Vận tải hành khách 7 tháng năm 2025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EF01E6" w:rsidRPr="000A74BB" w14:paraId="1B5E40ED" w14:textId="77777777" w:rsidTr="00EF01E6">
        <w:trPr>
          <w:trHeight w:val="436"/>
          <w:tblHeader/>
          <w:jc w:val="center"/>
        </w:trPr>
        <w:tc>
          <w:tcPr>
            <w:tcW w:w="2191" w:type="dxa"/>
            <w:tcBorders>
              <w:top w:val="single" w:sz="4" w:space="0" w:color="auto"/>
              <w:left w:val="nil"/>
              <w:bottom w:val="nil"/>
              <w:right w:val="nil"/>
            </w:tcBorders>
            <w:vAlign w:val="center"/>
            <w:hideMark/>
          </w:tcPr>
          <w:p w14:paraId="05915A15" w14:textId="77777777" w:rsidR="00EF01E6" w:rsidRPr="00306C05" w:rsidRDefault="00EF01E6" w:rsidP="00EF01E6">
            <w:pPr>
              <w:rPr>
                <w:rFonts w:ascii="Arial" w:hAnsi="Arial" w:cs="Arial"/>
                <w:b/>
                <w:bCs/>
                <w:sz w:val="24"/>
                <w:szCs w:val="24"/>
                <w:lang w:val="de-DE"/>
              </w:rPr>
            </w:pPr>
          </w:p>
        </w:tc>
        <w:tc>
          <w:tcPr>
            <w:tcW w:w="3653" w:type="dxa"/>
            <w:gridSpan w:val="2"/>
            <w:tcBorders>
              <w:top w:val="single" w:sz="4" w:space="0" w:color="auto"/>
              <w:left w:val="nil"/>
              <w:bottom w:val="single" w:sz="4" w:space="0" w:color="auto"/>
              <w:right w:val="nil"/>
            </w:tcBorders>
            <w:vAlign w:val="center"/>
            <w:hideMark/>
          </w:tcPr>
          <w:p w14:paraId="34397B72"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Số lượt hành khách</w:t>
            </w:r>
          </w:p>
        </w:tc>
        <w:tc>
          <w:tcPr>
            <w:tcW w:w="3248" w:type="dxa"/>
            <w:gridSpan w:val="2"/>
            <w:tcBorders>
              <w:top w:val="single" w:sz="4" w:space="0" w:color="auto"/>
              <w:left w:val="nil"/>
              <w:bottom w:val="single" w:sz="4" w:space="0" w:color="auto"/>
              <w:right w:val="nil"/>
            </w:tcBorders>
            <w:vAlign w:val="center"/>
            <w:hideMark/>
          </w:tcPr>
          <w:p w14:paraId="1C419783"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Tốc độ tăng/giảm so với</w:t>
            </w:r>
            <w:r w:rsidRPr="000A74BB">
              <w:rPr>
                <w:rFonts w:ascii="Arial" w:hAnsi="Arial" w:cs="Arial"/>
                <w:sz w:val="20"/>
                <w:szCs w:val="20"/>
                <w:lang w:eastAsia="vi-VN"/>
              </w:rPr>
              <w:br/>
              <w:t>cùng kỳ năm trước (%)</w:t>
            </w:r>
          </w:p>
        </w:tc>
      </w:tr>
      <w:tr w:rsidR="00EF01E6" w:rsidRPr="000A74BB" w14:paraId="7F6BD68C" w14:textId="77777777" w:rsidTr="00EF01E6">
        <w:trPr>
          <w:trHeight w:val="426"/>
          <w:tblHeader/>
          <w:jc w:val="center"/>
        </w:trPr>
        <w:tc>
          <w:tcPr>
            <w:tcW w:w="2191" w:type="dxa"/>
            <w:vAlign w:val="center"/>
            <w:hideMark/>
          </w:tcPr>
          <w:p w14:paraId="09ED90C1" w14:textId="77777777" w:rsidR="00EF01E6" w:rsidRPr="000A74BB" w:rsidRDefault="00EF01E6" w:rsidP="00EF01E6">
            <w:pPr>
              <w:rPr>
                <w:rFonts w:ascii="Arial" w:hAnsi="Arial" w:cs="Arial"/>
                <w:sz w:val="20"/>
                <w:szCs w:val="20"/>
                <w:lang w:eastAsia="vi-VN"/>
              </w:rPr>
            </w:pPr>
          </w:p>
        </w:tc>
        <w:tc>
          <w:tcPr>
            <w:tcW w:w="1794" w:type="dxa"/>
            <w:tcBorders>
              <w:top w:val="single" w:sz="4" w:space="0" w:color="auto"/>
              <w:left w:val="nil"/>
              <w:bottom w:val="single" w:sz="4" w:space="0" w:color="auto"/>
              <w:right w:val="nil"/>
            </w:tcBorders>
            <w:vAlign w:val="center"/>
            <w:hideMark/>
          </w:tcPr>
          <w:p w14:paraId="79D6E89E"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r w:rsidRPr="000A74BB">
              <w:rPr>
                <w:rFonts w:ascii="Arial" w:hAnsi="Arial" w:cs="Arial"/>
                <w:sz w:val="20"/>
                <w:szCs w:val="20"/>
                <w:lang w:eastAsia="vi-VN"/>
              </w:rPr>
              <w:br/>
              <w:t>(Triệu HK)</w:t>
            </w:r>
          </w:p>
        </w:tc>
        <w:tc>
          <w:tcPr>
            <w:tcW w:w="1859" w:type="dxa"/>
            <w:tcBorders>
              <w:top w:val="single" w:sz="4" w:space="0" w:color="auto"/>
              <w:left w:val="nil"/>
              <w:bottom w:val="single" w:sz="4" w:space="0" w:color="auto"/>
              <w:right w:val="nil"/>
            </w:tcBorders>
            <w:vAlign w:val="center"/>
            <w:hideMark/>
          </w:tcPr>
          <w:p w14:paraId="44A6F18E"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r w:rsidRPr="000A74BB">
              <w:rPr>
                <w:rFonts w:ascii="Arial" w:hAnsi="Arial" w:cs="Arial"/>
                <w:sz w:val="20"/>
                <w:szCs w:val="20"/>
                <w:lang w:eastAsia="vi-VN"/>
              </w:rPr>
              <w:br/>
              <w:t>(Tỷ HK.km)</w:t>
            </w:r>
          </w:p>
        </w:tc>
        <w:tc>
          <w:tcPr>
            <w:tcW w:w="1758" w:type="dxa"/>
            <w:tcBorders>
              <w:top w:val="single" w:sz="4" w:space="0" w:color="auto"/>
              <w:left w:val="nil"/>
              <w:bottom w:val="single" w:sz="4" w:space="0" w:color="auto"/>
              <w:right w:val="nil"/>
            </w:tcBorders>
            <w:vAlign w:val="center"/>
            <w:hideMark/>
          </w:tcPr>
          <w:p w14:paraId="538DADAD"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p>
        </w:tc>
        <w:tc>
          <w:tcPr>
            <w:tcW w:w="1490" w:type="dxa"/>
            <w:tcBorders>
              <w:top w:val="single" w:sz="4" w:space="0" w:color="auto"/>
              <w:left w:val="nil"/>
              <w:bottom w:val="single" w:sz="4" w:space="0" w:color="auto"/>
              <w:right w:val="nil"/>
            </w:tcBorders>
            <w:vAlign w:val="center"/>
            <w:hideMark/>
          </w:tcPr>
          <w:p w14:paraId="7D4C9E8F"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p>
        </w:tc>
      </w:tr>
      <w:tr w:rsidR="00EF01E6" w:rsidRPr="000A74BB" w14:paraId="379C8F46" w14:textId="77777777" w:rsidTr="00EF01E6">
        <w:trPr>
          <w:trHeight w:val="385"/>
          <w:jc w:val="center"/>
        </w:trPr>
        <w:tc>
          <w:tcPr>
            <w:tcW w:w="2191" w:type="dxa"/>
            <w:noWrap/>
            <w:vAlign w:val="center"/>
            <w:hideMark/>
          </w:tcPr>
          <w:p w14:paraId="6712A9C6" w14:textId="77777777" w:rsidR="00EF01E6" w:rsidRPr="000A74BB" w:rsidRDefault="00EF01E6" w:rsidP="00EF01E6">
            <w:pPr>
              <w:spacing w:line="256" w:lineRule="auto"/>
              <w:rPr>
                <w:rFonts w:ascii="Arial" w:hAnsi="Arial" w:cs="Arial"/>
                <w:b/>
                <w:bCs/>
                <w:sz w:val="20"/>
                <w:szCs w:val="20"/>
                <w:lang w:eastAsia="vi-VN"/>
              </w:rPr>
            </w:pPr>
            <w:r w:rsidRPr="000A74BB">
              <w:rPr>
                <w:rFonts w:ascii="Arial" w:hAnsi="Arial" w:cs="Arial"/>
                <w:b/>
                <w:bCs/>
                <w:sz w:val="20"/>
                <w:szCs w:val="20"/>
                <w:lang w:eastAsia="vi-VN"/>
              </w:rPr>
              <w:t>Tổng số</w:t>
            </w:r>
          </w:p>
        </w:tc>
        <w:tc>
          <w:tcPr>
            <w:tcW w:w="1794" w:type="dxa"/>
            <w:tcBorders>
              <w:top w:val="single" w:sz="4" w:space="0" w:color="auto"/>
              <w:left w:val="nil"/>
              <w:bottom w:val="nil"/>
              <w:right w:val="nil"/>
            </w:tcBorders>
            <w:noWrap/>
            <w:vAlign w:val="center"/>
            <w:hideMark/>
          </w:tcPr>
          <w:p w14:paraId="520806F1" w14:textId="77777777" w:rsidR="00EF01E6" w:rsidRPr="000A74BB" w:rsidRDefault="00EF01E6" w:rsidP="00EF01E6">
            <w:pPr>
              <w:spacing w:line="256" w:lineRule="auto"/>
              <w:ind w:right="394"/>
              <w:jc w:val="right"/>
              <w:rPr>
                <w:rFonts w:ascii="Arial" w:hAnsi="Arial" w:cs="Arial"/>
                <w:b/>
                <w:bCs/>
                <w:sz w:val="20"/>
                <w:szCs w:val="20"/>
              </w:rPr>
            </w:pPr>
            <w:r w:rsidRPr="000A74BB">
              <w:rPr>
                <w:rFonts w:ascii="Arial" w:hAnsi="Arial" w:cs="Arial"/>
                <w:b/>
                <w:bCs/>
                <w:sz w:val="20"/>
                <w:szCs w:val="20"/>
              </w:rPr>
              <w:t xml:space="preserve">  3.401,7</w:t>
            </w:r>
          </w:p>
        </w:tc>
        <w:tc>
          <w:tcPr>
            <w:tcW w:w="1859" w:type="dxa"/>
            <w:tcBorders>
              <w:top w:val="single" w:sz="4" w:space="0" w:color="auto"/>
              <w:left w:val="nil"/>
              <w:bottom w:val="nil"/>
              <w:right w:val="nil"/>
            </w:tcBorders>
            <w:noWrap/>
            <w:vAlign w:val="center"/>
            <w:hideMark/>
          </w:tcPr>
          <w:p w14:paraId="18FF289D" w14:textId="77777777" w:rsidR="00EF01E6" w:rsidRPr="000A74BB" w:rsidRDefault="00EF01E6" w:rsidP="00EF01E6">
            <w:pPr>
              <w:spacing w:line="256" w:lineRule="auto"/>
              <w:ind w:right="579"/>
              <w:jc w:val="right"/>
              <w:rPr>
                <w:rFonts w:ascii="Arial" w:hAnsi="Arial" w:cs="Arial"/>
                <w:b/>
                <w:bCs/>
                <w:sz w:val="20"/>
                <w:szCs w:val="20"/>
              </w:rPr>
            </w:pPr>
            <w:r w:rsidRPr="000A74BB">
              <w:rPr>
                <w:rFonts w:ascii="Arial" w:hAnsi="Arial" w:cs="Arial"/>
                <w:b/>
                <w:bCs/>
                <w:sz w:val="20"/>
                <w:szCs w:val="20"/>
              </w:rPr>
              <w:t xml:space="preserve">    179,8 </w:t>
            </w:r>
          </w:p>
        </w:tc>
        <w:tc>
          <w:tcPr>
            <w:tcW w:w="1758" w:type="dxa"/>
            <w:tcBorders>
              <w:top w:val="single" w:sz="4" w:space="0" w:color="auto"/>
              <w:left w:val="nil"/>
              <w:bottom w:val="nil"/>
              <w:right w:val="nil"/>
            </w:tcBorders>
            <w:noWrap/>
            <w:vAlign w:val="center"/>
            <w:hideMark/>
          </w:tcPr>
          <w:p w14:paraId="0FC5D971" w14:textId="77777777" w:rsidR="00EF01E6" w:rsidRPr="000A74BB" w:rsidRDefault="00EF01E6" w:rsidP="00EF01E6">
            <w:pPr>
              <w:spacing w:line="256" w:lineRule="auto"/>
              <w:ind w:right="520"/>
              <w:jc w:val="right"/>
              <w:rPr>
                <w:rFonts w:ascii="Arial" w:hAnsi="Arial" w:cs="Arial"/>
                <w:b/>
                <w:bCs/>
                <w:sz w:val="20"/>
                <w:szCs w:val="20"/>
              </w:rPr>
            </w:pPr>
            <w:r w:rsidRPr="000A74BB">
              <w:rPr>
                <w:rFonts w:ascii="Arial" w:hAnsi="Arial" w:cs="Arial"/>
                <w:b/>
                <w:bCs/>
                <w:sz w:val="20"/>
                <w:szCs w:val="20"/>
              </w:rPr>
              <w:t>21,5</w:t>
            </w:r>
          </w:p>
        </w:tc>
        <w:tc>
          <w:tcPr>
            <w:tcW w:w="1490" w:type="dxa"/>
            <w:tcBorders>
              <w:top w:val="single" w:sz="4" w:space="0" w:color="auto"/>
              <w:left w:val="nil"/>
              <w:bottom w:val="nil"/>
              <w:right w:val="nil"/>
            </w:tcBorders>
            <w:noWrap/>
            <w:vAlign w:val="center"/>
            <w:hideMark/>
          </w:tcPr>
          <w:p w14:paraId="343385B0" w14:textId="77777777" w:rsidR="00EF01E6" w:rsidRPr="000A74BB" w:rsidRDefault="00EF01E6" w:rsidP="00EF01E6">
            <w:pPr>
              <w:spacing w:line="256" w:lineRule="auto"/>
              <w:ind w:right="322"/>
              <w:jc w:val="right"/>
              <w:rPr>
                <w:rFonts w:ascii="Arial" w:hAnsi="Arial" w:cs="Arial"/>
                <w:b/>
                <w:bCs/>
                <w:sz w:val="20"/>
                <w:szCs w:val="20"/>
              </w:rPr>
            </w:pPr>
            <w:r w:rsidRPr="000A74BB">
              <w:rPr>
                <w:rFonts w:ascii="Arial" w:hAnsi="Arial" w:cs="Arial"/>
                <w:b/>
                <w:bCs/>
                <w:sz w:val="20"/>
                <w:szCs w:val="20"/>
              </w:rPr>
              <w:t>13,7</w:t>
            </w:r>
          </w:p>
        </w:tc>
      </w:tr>
      <w:tr w:rsidR="00EF01E6" w:rsidRPr="000A74BB" w14:paraId="511E4F19" w14:textId="77777777" w:rsidTr="00EF01E6">
        <w:trPr>
          <w:trHeight w:val="323"/>
          <w:jc w:val="center"/>
        </w:trPr>
        <w:tc>
          <w:tcPr>
            <w:tcW w:w="2191" w:type="dxa"/>
            <w:noWrap/>
            <w:vAlign w:val="center"/>
            <w:hideMark/>
          </w:tcPr>
          <w:p w14:paraId="0C313E35"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sắt</w:t>
            </w:r>
            <w:r w:rsidRPr="000A74BB">
              <w:rPr>
                <w:rFonts w:ascii="Arial" w:hAnsi="Arial"/>
                <w:sz w:val="20"/>
                <w:szCs w:val="20"/>
                <w:vertAlign w:val="superscript"/>
                <w:lang w:eastAsia="vi-VN"/>
              </w:rPr>
              <w:footnoteReference w:id="24"/>
            </w:r>
          </w:p>
        </w:tc>
        <w:tc>
          <w:tcPr>
            <w:tcW w:w="1794" w:type="dxa"/>
            <w:noWrap/>
            <w:vAlign w:val="center"/>
            <w:hideMark/>
          </w:tcPr>
          <w:p w14:paraId="582C3F8F" w14:textId="77777777" w:rsidR="00EF01E6" w:rsidRPr="000A74BB" w:rsidRDefault="00EF01E6" w:rsidP="00EF01E6">
            <w:pPr>
              <w:spacing w:line="256" w:lineRule="auto"/>
              <w:ind w:right="394"/>
              <w:jc w:val="right"/>
              <w:rPr>
                <w:rFonts w:ascii="Arial" w:hAnsi="Arial" w:cs="Arial"/>
                <w:sz w:val="20"/>
                <w:szCs w:val="20"/>
              </w:rPr>
            </w:pPr>
            <w:r w:rsidRPr="000A74BB">
              <w:rPr>
                <w:rFonts w:ascii="Arial" w:hAnsi="Arial" w:cs="Arial"/>
                <w:sz w:val="20"/>
                <w:szCs w:val="20"/>
              </w:rPr>
              <w:t xml:space="preserve">      23,8 </w:t>
            </w:r>
          </w:p>
        </w:tc>
        <w:tc>
          <w:tcPr>
            <w:tcW w:w="1859" w:type="dxa"/>
            <w:noWrap/>
            <w:vAlign w:val="center"/>
            <w:hideMark/>
          </w:tcPr>
          <w:p w14:paraId="348F35A7" w14:textId="77777777" w:rsidR="00EF01E6" w:rsidRPr="000A74BB" w:rsidRDefault="00EF01E6" w:rsidP="00EF01E6">
            <w:pPr>
              <w:spacing w:line="256" w:lineRule="auto"/>
              <w:ind w:right="579"/>
              <w:jc w:val="right"/>
              <w:rPr>
                <w:rFonts w:ascii="Arial" w:hAnsi="Arial" w:cs="Arial"/>
                <w:sz w:val="20"/>
                <w:szCs w:val="20"/>
              </w:rPr>
            </w:pPr>
            <w:r w:rsidRPr="000A74BB">
              <w:rPr>
                <w:rFonts w:ascii="Arial" w:hAnsi="Arial" w:cs="Arial"/>
                <w:sz w:val="20"/>
                <w:szCs w:val="20"/>
              </w:rPr>
              <w:t xml:space="preserve">        2,2 </w:t>
            </w:r>
          </w:p>
        </w:tc>
        <w:tc>
          <w:tcPr>
            <w:tcW w:w="1758" w:type="dxa"/>
            <w:noWrap/>
            <w:vAlign w:val="center"/>
            <w:hideMark/>
          </w:tcPr>
          <w:p w14:paraId="750A264D" w14:textId="77777777" w:rsidR="00EF01E6" w:rsidRPr="000A74BB" w:rsidRDefault="00EF01E6" w:rsidP="00EF01E6">
            <w:pPr>
              <w:spacing w:line="256" w:lineRule="auto"/>
              <w:ind w:right="520"/>
              <w:jc w:val="right"/>
              <w:rPr>
                <w:rFonts w:ascii="Arial" w:hAnsi="Arial" w:cs="Arial"/>
                <w:sz w:val="20"/>
                <w:szCs w:val="20"/>
              </w:rPr>
            </w:pPr>
            <w:r w:rsidRPr="000A74BB">
              <w:rPr>
                <w:rFonts w:ascii="Arial" w:hAnsi="Arial" w:cs="Arial"/>
                <w:sz w:val="20"/>
                <w:szCs w:val="20"/>
              </w:rPr>
              <w:t>115,3</w:t>
            </w:r>
          </w:p>
        </w:tc>
        <w:tc>
          <w:tcPr>
            <w:tcW w:w="1490" w:type="dxa"/>
            <w:noWrap/>
            <w:vAlign w:val="center"/>
            <w:hideMark/>
          </w:tcPr>
          <w:p w14:paraId="216C41A0" w14:textId="77777777" w:rsidR="00EF01E6" w:rsidRPr="000A74BB" w:rsidRDefault="00EF01E6" w:rsidP="00EF01E6">
            <w:pPr>
              <w:spacing w:line="256" w:lineRule="auto"/>
              <w:ind w:right="322"/>
              <w:jc w:val="right"/>
              <w:rPr>
                <w:rFonts w:ascii="Arial" w:hAnsi="Arial" w:cs="Arial"/>
                <w:sz w:val="20"/>
                <w:szCs w:val="20"/>
              </w:rPr>
            </w:pPr>
            <w:r w:rsidRPr="000A74BB">
              <w:rPr>
                <w:rFonts w:ascii="Arial" w:hAnsi="Arial" w:cs="Arial"/>
                <w:sz w:val="20"/>
                <w:szCs w:val="20"/>
              </w:rPr>
              <w:t>16,2</w:t>
            </w:r>
          </w:p>
        </w:tc>
      </w:tr>
      <w:tr w:rsidR="00EF01E6" w:rsidRPr="000A74BB" w14:paraId="07447A8E" w14:textId="77777777" w:rsidTr="00EF01E6">
        <w:trPr>
          <w:trHeight w:val="323"/>
          <w:jc w:val="center"/>
        </w:trPr>
        <w:tc>
          <w:tcPr>
            <w:tcW w:w="2191" w:type="dxa"/>
            <w:noWrap/>
            <w:vAlign w:val="center"/>
            <w:hideMark/>
          </w:tcPr>
          <w:p w14:paraId="12CD3FDC"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biển</w:t>
            </w:r>
            <w:r w:rsidRPr="000A74BB">
              <w:rPr>
                <w:rFonts w:ascii="Arial" w:hAnsi="Arial"/>
                <w:sz w:val="20"/>
                <w:szCs w:val="20"/>
                <w:vertAlign w:val="superscript"/>
                <w:lang w:eastAsia="vi-VN"/>
              </w:rPr>
              <w:footnoteReference w:id="25"/>
            </w:r>
          </w:p>
        </w:tc>
        <w:tc>
          <w:tcPr>
            <w:tcW w:w="1794" w:type="dxa"/>
            <w:noWrap/>
            <w:vAlign w:val="center"/>
            <w:hideMark/>
          </w:tcPr>
          <w:p w14:paraId="6717A33A" w14:textId="77777777" w:rsidR="00EF01E6" w:rsidRPr="000A74BB" w:rsidRDefault="00EF01E6" w:rsidP="00EF01E6">
            <w:pPr>
              <w:spacing w:line="256" w:lineRule="auto"/>
              <w:ind w:right="394"/>
              <w:jc w:val="right"/>
              <w:rPr>
                <w:rFonts w:ascii="Arial" w:hAnsi="Arial" w:cs="Arial"/>
                <w:sz w:val="20"/>
                <w:szCs w:val="20"/>
              </w:rPr>
            </w:pPr>
            <w:r w:rsidRPr="000A74BB">
              <w:rPr>
                <w:rFonts w:ascii="Arial" w:hAnsi="Arial" w:cs="Arial"/>
                <w:sz w:val="20"/>
                <w:szCs w:val="20"/>
              </w:rPr>
              <w:t xml:space="preserve">        7,4 </w:t>
            </w:r>
          </w:p>
        </w:tc>
        <w:tc>
          <w:tcPr>
            <w:tcW w:w="1859" w:type="dxa"/>
            <w:noWrap/>
            <w:vAlign w:val="center"/>
            <w:hideMark/>
          </w:tcPr>
          <w:p w14:paraId="10DDCCC7" w14:textId="77777777" w:rsidR="00EF01E6" w:rsidRPr="000A74BB" w:rsidRDefault="00EF01E6" w:rsidP="00EF01E6">
            <w:pPr>
              <w:spacing w:line="256" w:lineRule="auto"/>
              <w:ind w:right="579"/>
              <w:jc w:val="right"/>
              <w:rPr>
                <w:rFonts w:ascii="Arial" w:hAnsi="Arial" w:cs="Arial"/>
                <w:sz w:val="20"/>
                <w:szCs w:val="20"/>
              </w:rPr>
            </w:pPr>
            <w:r w:rsidRPr="000A74BB">
              <w:rPr>
                <w:rFonts w:ascii="Arial" w:hAnsi="Arial" w:cs="Arial"/>
                <w:sz w:val="20"/>
                <w:szCs w:val="20"/>
              </w:rPr>
              <w:t xml:space="preserve">        0,5 </w:t>
            </w:r>
          </w:p>
        </w:tc>
        <w:tc>
          <w:tcPr>
            <w:tcW w:w="1758" w:type="dxa"/>
            <w:noWrap/>
            <w:vAlign w:val="center"/>
            <w:hideMark/>
          </w:tcPr>
          <w:p w14:paraId="2805A691" w14:textId="77777777" w:rsidR="00EF01E6" w:rsidRPr="000A74BB" w:rsidRDefault="00EF01E6" w:rsidP="00EF01E6">
            <w:pPr>
              <w:spacing w:line="256" w:lineRule="auto"/>
              <w:ind w:right="520"/>
              <w:jc w:val="right"/>
              <w:rPr>
                <w:rFonts w:ascii="Arial" w:hAnsi="Arial" w:cs="Arial"/>
                <w:sz w:val="20"/>
                <w:szCs w:val="20"/>
              </w:rPr>
            </w:pPr>
            <w:r w:rsidRPr="000A74BB">
              <w:rPr>
                <w:rFonts w:ascii="Arial" w:hAnsi="Arial" w:cs="Arial"/>
                <w:sz w:val="20"/>
                <w:szCs w:val="20"/>
              </w:rPr>
              <w:t>-8,3</w:t>
            </w:r>
          </w:p>
        </w:tc>
        <w:tc>
          <w:tcPr>
            <w:tcW w:w="1490" w:type="dxa"/>
            <w:noWrap/>
            <w:vAlign w:val="center"/>
            <w:hideMark/>
          </w:tcPr>
          <w:p w14:paraId="7BD3CBF5" w14:textId="77777777" w:rsidR="00EF01E6" w:rsidRPr="000A74BB" w:rsidRDefault="00EF01E6" w:rsidP="00EF01E6">
            <w:pPr>
              <w:spacing w:line="256" w:lineRule="auto"/>
              <w:ind w:right="322"/>
              <w:jc w:val="right"/>
              <w:rPr>
                <w:rFonts w:ascii="Arial" w:hAnsi="Arial" w:cs="Arial"/>
                <w:sz w:val="20"/>
                <w:szCs w:val="20"/>
              </w:rPr>
            </w:pPr>
            <w:r w:rsidRPr="000A74BB">
              <w:rPr>
                <w:rFonts w:ascii="Arial" w:hAnsi="Arial" w:cs="Arial"/>
                <w:sz w:val="20"/>
                <w:szCs w:val="20"/>
              </w:rPr>
              <w:t>10,3</w:t>
            </w:r>
          </w:p>
        </w:tc>
      </w:tr>
      <w:tr w:rsidR="00EF01E6" w:rsidRPr="000A74BB" w14:paraId="52306F5C" w14:textId="77777777" w:rsidTr="00EF01E6">
        <w:trPr>
          <w:trHeight w:val="323"/>
          <w:jc w:val="center"/>
        </w:trPr>
        <w:tc>
          <w:tcPr>
            <w:tcW w:w="2191" w:type="dxa"/>
            <w:noWrap/>
            <w:vAlign w:val="center"/>
            <w:hideMark/>
          </w:tcPr>
          <w:p w14:paraId="691E597F"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thủy nội địa</w:t>
            </w:r>
          </w:p>
        </w:tc>
        <w:tc>
          <w:tcPr>
            <w:tcW w:w="1794" w:type="dxa"/>
            <w:noWrap/>
            <w:vAlign w:val="center"/>
            <w:hideMark/>
          </w:tcPr>
          <w:p w14:paraId="4C5C5B04" w14:textId="77777777" w:rsidR="00EF01E6" w:rsidRPr="000A74BB" w:rsidRDefault="00EF01E6" w:rsidP="00EF01E6">
            <w:pPr>
              <w:spacing w:line="256" w:lineRule="auto"/>
              <w:ind w:right="394"/>
              <w:jc w:val="right"/>
              <w:rPr>
                <w:rFonts w:ascii="Arial" w:hAnsi="Arial" w:cs="Arial"/>
                <w:sz w:val="20"/>
                <w:szCs w:val="20"/>
              </w:rPr>
            </w:pPr>
            <w:r w:rsidRPr="000A74BB">
              <w:rPr>
                <w:rFonts w:ascii="Arial" w:hAnsi="Arial" w:cs="Arial"/>
                <w:sz w:val="20"/>
                <w:szCs w:val="20"/>
              </w:rPr>
              <w:t xml:space="preserve">    245,6 </w:t>
            </w:r>
          </w:p>
        </w:tc>
        <w:tc>
          <w:tcPr>
            <w:tcW w:w="1859" w:type="dxa"/>
            <w:noWrap/>
            <w:vAlign w:val="center"/>
            <w:hideMark/>
          </w:tcPr>
          <w:p w14:paraId="0E1C884A" w14:textId="77777777" w:rsidR="00EF01E6" w:rsidRPr="000A74BB" w:rsidRDefault="00EF01E6" w:rsidP="00EF01E6">
            <w:pPr>
              <w:spacing w:line="256" w:lineRule="auto"/>
              <w:ind w:right="579"/>
              <w:jc w:val="right"/>
              <w:rPr>
                <w:rFonts w:ascii="Arial" w:hAnsi="Arial" w:cs="Arial"/>
                <w:sz w:val="20"/>
                <w:szCs w:val="20"/>
              </w:rPr>
            </w:pPr>
            <w:r w:rsidRPr="000A74BB">
              <w:rPr>
                <w:rFonts w:ascii="Arial" w:hAnsi="Arial" w:cs="Arial"/>
                <w:sz w:val="20"/>
                <w:szCs w:val="20"/>
              </w:rPr>
              <w:t xml:space="preserve">        5,5 </w:t>
            </w:r>
          </w:p>
        </w:tc>
        <w:tc>
          <w:tcPr>
            <w:tcW w:w="1758" w:type="dxa"/>
            <w:noWrap/>
            <w:vAlign w:val="center"/>
            <w:hideMark/>
          </w:tcPr>
          <w:p w14:paraId="77A53E92" w14:textId="77777777" w:rsidR="00EF01E6" w:rsidRPr="000A74BB" w:rsidRDefault="00EF01E6" w:rsidP="00EF01E6">
            <w:pPr>
              <w:spacing w:line="256" w:lineRule="auto"/>
              <w:ind w:right="520"/>
              <w:jc w:val="right"/>
              <w:rPr>
                <w:rFonts w:ascii="Arial" w:hAnsi="Arial" w:cs="Arial"/>
                <w:sz w:val="20"/>
                <w:szCs w:val="20"/>
              </w:rPr>
            </w:pPr>
            <w:r w:rsidRPr="000A74BB">
              <w:rPr>
                <w:rFonts w:ascii="Arial" w:hAnsi="Arial" w:cs="Arial"/>
                <w:sz w:val="20"/>
                <w:szCs w:val="20"/>
              </w:rPr>
              <w:t>15,8</w:t>
            </w:r>
          </w:p>
        </w:tc>
        <w:tc>
          <w:tcPr>
            <w:tcW w:w="1490" w:type="dxa"/>
            <w:noWrap/>
            <w:vAlign w:val="center"/>
            <w:hideMark/>
          </w:tcPr>
          <w:p w14:paraId="195E5004" w14:textId="77777777" w:rsidR="00EF01E6" w:rsidRPr="000A74BB" w:rsidRDefault="00EF01E6" w:rsidP="00EF01E6">
            <w:pPr>
              <w:spacing w:line="256" w:lineRule="auto"/>
              <w:ind w:right="322"/>
              <w:jc w:val="right"/>
              <w:rPr>
                <w:rFonts w:ascii="Arial" w:hAnsi="Arial" w:cs="Arial"/>
                <w:sz w:val="20"/>
                <w:szCs w:val="20"/>
              </w:rPr>
            </w:pPr>
            <w:r w:rsidRPr="000A74BB">
              <w:rPr>
                <w:rFonts w:ascii="Arial" w:hAnsi="Arial" w:cs="Arial"/>
                <w:sz w:val="20"/>
                <w:szCs w:val="20"/>
              </w:rPr>
              <w:t>26,1</w:t>
            </w:r>
          </w:p>
        </w:tc>
      </w:tr>
      <w:tr w:rsidR="00EF01E6" w:rsidRPr="000A74BB" w14:paraId="33A4217C" w14:textId="77777777" w:rsidTr="00EF01E6">
        <w:trPr>
          <w:trHeight w:val="323"/>
          <w:jc w:val="center"/>
        </w:trPr>
        <w:tc>
          <w:tcPr>
            <w:tcW w:w="2191" w:type="dxa"/>
            <w:noWrap/>
            <w:vAlign w:val="center"/>
            <w:hideMark/>
          </w:tcPr>
          <w:p w14:paraId="272D0852"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bộ</w:t>
            </w:r>
          </w:p>
        </w:tc>
        <w:tc>
          <w:tcPr>
            <w:tcW w:w="1794" w:type="dxa"/>
            <w:noWrap/>
            <w:vAlign w:val="center"/>
            <w:hideMark/>
          </w:tcPr>
          <w:p w14:paraId="05A4FAD9" w14:textId="77777777" w:rsidR="00EF01E6" w:rsidRPr="000A74BB" w:rsidRDefault="00EF01E6" w:rsidP="00EF01E6">
            <w:pPr>
              <w:spacing w:line="256" w:lineRule="auto"/>
              <w:ind w:right="394"/>
              <w:jc w:val="right"/>
              <w:rPr>
                <w:rFonts w:ascii="Arial" w:hAnsi="Arial" w:cs="Arial"/>
                <w:sz w:val="20"/>
                <w:szCs w:val="20"/>
              </w:rPr>
            </w:pPr>
            <w:r w:rsidRPr="000A74BB">
              <w:rPr>
                <w:rFonts w:ascii="Arial" w:hAnsi="Arial" w:cs="Arial"/>
                <w:sz w:val="20"/>
                <w:szCs w:val="20"/>
              </w:rPr>
              <w:t xml:space="preserve">  3.091,3 </w:t>
            </w:r>
          </w:p>
        </w:tc>
        <w:tc>
          <w:tcPr>
            <w:tcW w:w="1859" w:type="dxa"/>
            <w:noWrap/>
            <w:vAlign w:val="center"/>
            <w:hideMark/>
          </w:tcPr>
          <w:p w14:paraId="25380E22" w14:textId="77777777" w:rsidR="00EF01E6" w:rsidRPr="000A74BB" w:rsidRDefault="00EF01E6" w:rsidP="00EF01E6">
            <w:pPr>
              <w:spacing w:line="256" w:lineRule="auto"/>
              <w:ind w:right="579"/>
              <w:jc w:val="right"/>
              <w:rPr>
                <w:rFonts w:ascii="Arial" w:hAnsi="Arial" w:cs="Arial"/>
                <w:sz w:val="20"/>
                <w:szCs w:val="20"/>
              </w:rPr>
            </w:pPr>
            <w:r w:rsidRPr="000A74BB">
              <w:rPr>
                <w:rFonts w:ascii="Arial" w:hAnsi="Arial" w:cs="Arial"/>
                <w:sz w:val="20"/>
                <w:szCs w:val="20"/>
              </w:rPr>
              <w:t xml:space="preserve">    116,2 </w:t>
            </w:r>
          </w:p>
        </w:tc>
        <w:tc>
          <w:tcPr>
            <w:tcW w:w="1758" w:type="dxa"/>
            <w:noWrap/>
            <w:vAlign w:val="center"/>
            <w:hideMark/>
          </w:tcPr>
          <w:p w14:paraId="7282E3C6" w14:textId="77777777" w:rsidR="00EF01E6" w:rsidRPr="000A74BB" w:rsidRDefault="00EF01E6" w:rsidP="00EF01E6">
            <w:pPr>
              <w:spacing w:line="256" w:lineRule="auto"/>
              <w:ind w:right="520"/>
              <w:jc w:val="right"/>
              <w:rPr>
                <w:rFonts w:ascii="Arial" w:hAnsi="Arial" w:cs="Arial"/>
                <w:sz w:val="20"/>
                <w:szCs w:val="20"/>
              </w:rPr>
            </w:pPr>
            <w:r w:rsidRPr="000A74BB">
              <w:rPr>
                <w:rFonts w:ascii="Arial" w:hAnsi="Arial" w:cs="Arial"/>
                <w:sz w:val="20"/>
                <w:szCs w:val="20"/>
              </w:rPr>
              <w:t>21,9</w:t>
            </w:r>
          </w:p>
        </w:tc>
        <w:tc>
          <w:tcPr>
            <w:tcW w:w="1490" w:type="dxa"/>
            <w:noWrap/>
            <w:vAlign w:val="center"/>
            <w:hideMark/>
          </w:tcPr>
          <w:p w14:paraId="22691054" w14:textId="77777777" w:rsidR="00EF01E6" w:rsidRPr="000A74BB" w:rsidRDefault="00EF01E6" w:rsidP="00EF01E6">
            <w:pPr>
              <w:spacing w:line="256" w:lineRule="auto"/>
              <w:ind w:right="322"/>
              <w:jc w:val="right"/>
              <w:rPr>
                <w:rFonts w:ascii="Arial" w:hAnsi="Arial" w:cs="Arial"/>
                <w:sz w:val="20"/>
                <w:szCs w:val="20"/>
              </w:rPr>
            </w:pPr>
            <w:r w:rsidRPr="000A74BB">
              <w:rPr>
                <w:rFonts w:ascii="Arial" w:hAnsi="Arial" w:cs="Arial"/>
                <w:sz w:val="20"/>
                <w:szCs w:val="20"/>
              </w:rPr>
              <w:t>16,8</w:t>
            </w:r>
          </w:p>
        </w:tc>
      </w:tr>
      <w:tr w:rsidR="00EF01E6" w:rsidRPr="000A74BB" w14:paraId="090901A6" w14:textId="77777777" w:rsidTr="00EF01E6">
        <w:trPr>
          <w:trHeight w:val="323"/>
          <w:jc w:val="center"/>
        </w:trPr>
        <w:tc>
          <w:tcPr>
            <w:tcW w:w="2191" w:type="dxa"/>
            <w:tcBorders>
              <w:top w:val="nil"/>
              <w:left w:val="nil"/>
              <w:bottom w:val="single" w:sz="4" w:space="0" w:color="auto"/>
              <w:right w:val="nil"/>
            </w:tcBorders>
            <w:noWrap/>
            <w:vAlign w:val="center"/>
            <w:hideMark/>
          </w:tcPr>
          <w:p w14:paraId="3AA56A03"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Hàng không</w:t>
            </w:r>
          </w:p>
        </w:tc>
        <w:tc>
          <w:tcPr>
            <w:tcW w:w="1794" w:type="dxa"/>
            <w:tcBorders>
              <w:top w:val="nil"/>
              <w:left w:val="nil"/>
              <w:bottom w:val="single" w:sz="4" w:space="0" w:color="auto"/>
              <w:right w:val="nil"/>
            </w:tcBorders>
            <w:noWrap/>
            <w:vAlign w:val="center"/>
            <w:hideMark/>
          </w:tcPr>
          <w:p w14:paraId="76E0D85E" w14:textId="77777777" w:rsidR="00EF01E6" w:rsidRPr="000A74BB" w:rsidRDefault="00EF01E6" w:rsidP="00EF01E6">
            <w:pPr>
              <w:spacing w:line="256" w:lineRule="auto"/>
              <w:ind w:right="394"/>
              <w:jc w:val="right"/>
              <w:rPr>
                <w:rFonts w:ascii="Arial" w:hAnsi="Arial" w:cs="Arial"/>
                <w:sz w:val="20"/>
                <w:szCs w:val="20"/>
              </w:rPr>
            </w:pPr>
            <w:r w:rsidRPr="000A74BB">
              <w:rPr>
                <w:rFonts w:ascii="Arial" w:hAnsi="Arial" w:cs="Arial"/>
                <w:sz w:val="20"/>
                <w:szCs w:val="20"/>
              </w:rPr>
              <w:t xml:space="preserve">      33,6 </w:t>
            </w:r>
          </w:p>
        </w:tc>
        <w:tc>
          <w:tcPr>
            <w:tcW w:w="1859" w:type="dxa"/>
            <w:tcBorders>
              <w:top w:val="nil"/>
              <w:left w:val="nil"/>
              <w:bottom w:val="single" w:sz="4" w:space="0" w:color="auto"/>
              <w:right w:val="nil"/>
            </w:tcBorders>
            <w:noWrap/>
            <w:vAlign w:val="center"/>
            <w:hideMark/>
          </w:tcPr>
          <w:p w14:paraId="2AD981D7" w14:textId="77777777" w:rsidR="00EF01E6" w:rsidRPr="000A74BB" w:rsidRDefault="00EF01E6" w:rsidP="00EF01E6">
            <w:pPr>
              <w:spacing w:line="256" w:lineRule="auto"/>
              <w:ind w:right="579"/>
              <w:jc w:val="right"/>
              <w:rPr>
                <w:rFonts w:ascii="Arial" w:hAnsi="Arial" w:cs="Arial"/>
                <w:sz w:val="20"/>
                <w:szCs w:val="20"/>
              </w:rPr>
            </w:pPr>
            <w:r w:rsidRPr="000A74BB">
              <w:rPr>
                <w:rFonts w:ascii="Arial" w:hAnsi="Arial" w:cs="Arial"/>
                <w:sz w:val="20"/>
                <w:szCs w:val="20"/>
              </w:rPr>
              <w:t xml:space="preserve">      55,4 </w:t>
            </w:r>
          </w:p>
        </w:tc>
        <w:tc>
          <w:tcPr>
            <w:tcW w:w="1758" w:type="dxa"/>
            <w:tcBorders>
              <w:top w:val="nil"/>
              <w:left w:val="nil"/>
              <w:bottom w:val="single" w:sz="4" w:space="0" w:color="auto"/>
              <w:right w:val="nil"/>
            </w:tcBorders>
            <w:noWrap/>
            <w:vAlign w:val="center"/>
            <w:hideMark/>
          </w:tcPr>
          <w:p w14:paraId="7556D9F6" w14:textId="77777777" w:rsidR="00EF01E6" w:rsidRPr="000A74BB" w:rsidRDefault="00EF01E6" w:rsidP="00EF01E6">
            <w:pPr>
              <w:spacing w:line="256" w:lineRule="auto"/>
              <w:ind w:right="520"/>
              <w:jc w:val="right"/>
              <w:rPr>
                <w:rFonts w:ascii="Arial" w:hAnsi="Arial" w:cs="Arial"/>
                <w:sz w:val="20"/>
                <w:szCs w:val="20"/>
              </w:rPr>
            </w:pPr>
            <w:r w:rsidRPr="000A74BB">
              <w:rPr>
                <w:rFonts w:ascii="Arial" w:hAnsi="Arial" w:cs="Arial"/>
                <w:sz w:val="20"/>
                <w:szCs w:val="20"/>
              </w:rPr>
              <w:t>7,5</w:t>
            </w:r>
          </w:p>
        </w:tc>
        <w:tc>
          <w:tcPr>
            <w:tcW w:w="1490" w:type="dxa"/>
            <w:tcBorders>
              <w:top w:val="nil"/>
              <w:left w:val="nil"/>
              <w:bottom w:val="single" w:sz="4" w:space="0" w:color="auto"/>
              <w:right w:val="nil"/>
            </w:tcBorders>
            <w:noWrap/>
            <w:vAlign w:val="center"/>
            <w:hideMark/>
          </w:tcPr>
          <w:p w14:paraId="1FF4AFCD" w14:textId="77777777" w:rsidR="00EF01E6" w:rsidRPr="000A74BB" w:rsidRDefault="00EF01E6" w:rsidP="00EF01E6">
            <w:pPr>
              <w:spacing w:line="256" w:lineRule="auto"/>
              <w:ind w:right="322"/>
              <w:jc w:val="right"/>
              <w:rPr>
                <w:rFonts w:ascii="Arial" w:hAnsi="Arial" w:cs="Arial"/>
                <w:sz w:val="20"/>
                <w:szCs w:val="20"/>
              </w:rPr>
            </w:pPr>
            <w:r w:rsidRPr="000A74BB">
              <w:rPr>
                <w:rFonts w:ascii="Arial" w:hAnsi="Arial" w:cs="Arial"/>
                <w:sz w:val="20"/>
                <w:szCs w:val="20"/>
              </w:rPr>
              <w:t>6,7</w:t>
            </w:r>
          </w:p>
        </w:tc>
      </w:tr>
    </w:tbl>
    <w:p w14:paraId="3990FD4B" w14:textId="77777777" w:rsidR="00EF01E6" w:rsidRPr="000A74BB" w:rsidRDefault="00EF01E6" w:rsidP="00EF01E6">
      <w:pPr>
        <w:spacing w:before="40" w:after="40" w:line="288" w:lineRule="auto"/>
        <w:ind w:firstLine="567"/>
        <w:jc w:val="both"/>
        <w:rPr>
          <w:bCs/>
          <w:i/>
          <w:iCs/>
          <w:spacing w:val="-2"/>
          <w:sz w:val="6"/>
          <w:lang w:val="fr-FR"/>
        </w:rPr>
      </w:pPr>
    </w:p>
    <w:p w14:paraId="0A5204BC" w14:textId="77777777" w:rsidR="00EF01E6" w:rsidRPr="000A74BB" w:rsidRDefault="00EF01E6" w:rsidP="00EF01E6">
      <w:pPr>
        <w:spacing w:before="40" w:after="120" w:line="252" w:lineRule="auto"/>
        <w:ind w:firstLine="720"/>
        <w:jc w:val="both"/>
        <w:rPr>
          <w:spacing w:val="-2"/>
          <w:lang w:val="fr-FR"/>
        </w:rPr>
      </w:pPr>
      <w:r w:rsidRPr="000A74BB">
        <w:rPr>
          <w:i/>
          <w:spacing w:val="-2"/>
          <w:lang w:val="fr-FR"/>
        </w:rPr>
        <w:t>Vận tải hàng hóa</w:t>
      </w:r>
      <w:r w:rsidRPr="000A74BB">
        <w:rPr>
          <w:spacing w:val="-2"/>
          <w:lang w:val="fr-FR"/>
        </w:rPr>
        <w:t xml:space="preserve"> tháng Bảy ước đạt 242,4 triệu tấn hàng hóa vận chuyển, tăng 0,9% so với tháng trước và luân chuyển 53,4 tỷ tấn.km, tăng 1,7%. Tính chung bảy tháng năm 2025, vận tải hàng hóa ước đạt 1.673,5 triệu tấn vận chuyển, tăng 13,7% so với cùng kỳ năm trước và luân chuyển 345,4 tỷ tấn.km, tăng 13,6%. Trong đó, vận tải trong nước ước đạt 1.644,5 triệu tấn vận chuyển, tăng 13,9% và 203,5 tỷ tấn.km luân chuyển, tăng 10,2%; vận tải ngoài nước ước đạt 29,0 triệu tấn vận chuyển, tăng 7,7% và 141,9 tỷ tấn.km luân chuyển, tăng 18,7%. </w:t>
      </w:r>
    </w:p>
    <w:p w14:paraId="078C55A6" w14:textId="77777777" w:rsidR="00EF01E6" w:rsidRPr="000A74BB" w:rsidRDefault="00EF01E6" w:rsidP="00EF01E6">
      <w:pPr>
        <w:spacing w:before="120" w:after="120"/>
        <w:jc w:val="center"/>
        <w:rPr>
          <w:rFonts w:ascii="Arial" w:hAnsi="Arial" w:cs="Arial"/>
          <w:b/>
          <w:bCs/>
          <w:sz w:val="24"/>
          <w:szCs w:val="24"/>
          <w:lang w:val="fr-FR"/>
        </w:rPr>
      </w:pPr>
      <w:r w:rsidRPr="000A74BB">
        <w:rPr>
          <w:rFonts w:ascii="Arial" w:hAnsi="Arial" w:cs="Arial"/>
          <w:b/>
          <w:sz w:val="24"/>
          <w:szCs w:val="24"/>
          <w:lang w:val="fr-FR"/>
        </w:rPr>
        <w:t xml:space="preserve">Biểu 7. </w:t>
      </w:r>
      <w:r w:rsidRPr="000A74BB">
        <w:rPr>
          <w:rFonts w:ascii="Arial" w:hAnsi="Arial" w:cs="Arial"/>
          <w:b/>
          <w:bCs/>
          <w:sz w:val="24"/>
          <w:szCs w:val="24"/>
          <w:lang w:val="fr-FR"/>
        </w:rPr>
        <w:t>Vận tải hàng hóa 7 tháng năm 2025 phân theo ngành vận tải</w:t>
      </w:r>
    </w:p>
    <w:tbl>
      <w:tblPr>
        <w:tblW w:w="9143" w:type="dxa"/>
        <w:jc w:val="center"/>
        <w:tblLook w:val="04A0" w:firstRow="1" w:lastRow="0" w:firstColumn="1" w:lastColumn="0" w:noHBand="0" w:noVBand="1"/>
      </w:tblPr>
      <w:tblGrid>
        <w:gridCol w:w="2203"/>
        <w:gridCol w:w="1802"/>
        <w:gridCol w:w="1873"/>
        <w:gridCol w:w="1769"/>
        <w:gridCol w:w="1496"/>
      </w:tblGrid>
      <w:tr w:rsidR="00EF01E6" w:rsidRPr="000A74BB" w14:paraId="510E6592" w14:textId="77777777" w:rsidTr="00EF01E6">
        <w:trPr>
          <w:trHeight w:val="377"/>
          <w:jc w:val="center"/>
        </w:trPr>
        <w:tc>
          <w:tcPr>
            <w:tcW w:w="2203" w:type="dxa"/>
            <w:tcBorders>
              <w:top w:val="single" w:sz="4" w:space="0" w:color="auto"/>
              <w:left w:val="nil"/>
              <w:bottom w:val="nil"/>
              <w:right w:val="nil"/>
            </w:tcBorders>
            <w:vAlign w:val="center"/>
            <w:hideMark/>
          </w:tcPr>
          <w:p w14:paraId="2DBE815F" w14:textId="77777777" w:rsidR="00EF01E6" w:rsidRPr="000A74BB" w:rsidRDefault="00EF01E6" w:rsidP="00EF01E6">
            <w:pPr>
              <w:rPr>
                <w:rFonts w:ascii="Arial" w:hAnsi="Arial" w:cs="Arial"/>
                <w:b/>
                <w:bCs/>
                <w:sz w:val="24"/>
                <w:szCs w:val="24"/>
                <w:lang w:val="fr-FR"/>
              </w:rPr>
            </w:pPr>
          </w:p>
        </w:tc>
        <w:tc>
          <w:tcPr>
            <w:tcW w:w="3675" w:type="dxa"/>
            <w:gridSpan w:val="2"/>
            <w:tcBorders>
              <w:top w:val="single" w:sz="4" w:space="0" w:color="auto"/>
              <w:left w:val="nil"/>
              <w:bottom w:val="single" w:sz="4" w:space="0" w:color="auto"/>
              <w:right w:val="nil"/>
            </w:tcBorders>
            <w:vAlign w:val="center"/>
            <w:hideMark/>
          </w:tcPr>
          <w:p w14:paraId="0075D89B"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Sản lượng hàng hóa</w:t>
            </w:r>
          </w:p>
        </w:tc>
        <w:tc>
          <w:tcPr>
            <w:tcW w:w="3265" w:type="dxa"/>
            <w:gridSpan w:val="2"/>
            <w:tcBorders>
              <w:top w:val="single" w:sz="4" w:space="0" w:color="auto"/>
              <w:left w:val="nil"/>
              <w:bottom w:val="single" w:sz="4" w:space="0" w:color="auto"/>
              <w:right w:val="nil"/>
            </w:tcBorders>
            <w:vAlign w:val="center"/>
            <w:hideMark/>
          </w:tcPr>
          <w:p w14:paraId="44036389"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Tốc độ tăng/giảm so với</w:t>
            </w:r>
            <w:r w:rsidRPr="000A74BB">
              <w:rPr>
                <w:rFonts w:ascii="Arial" w:hAnsi="Arial" w:cs="Arial"/>
                <w:sz w:val="20"/>
                <w:szCs w:val="20"/>
                <w:lang w:eastAsia="vi-VN"/>
              </w:rPr>
              <w:br/>
              <w:t>cùng kỳ năm trước (%)</w:t>
            </w:r>
          </w:p>
        </w:tc>
      </w:tr>
      <w:tr w:rsidR="00EF01E6" w:rsidRPr="000A74BB" w14:paraId="096846E4" w14:textId="77777777" w:rsidTr="00EF01E6">
        <w:trPr>
          <w:trHeight w:val="329"/>
          <w:jc w:val="center"/>
        </w:trPr>
        <w:tc>
          <w:tcPr>
            <w:tcW w:w="2203" w:type="dxa"/>
            <w:vAlign w:val="center"/>
            <w:hideMark/>
          </w:tcPr>
          <w:p w14:paraId="305B7F70" w14:textId="77777777" w:rsidR="00EF01E6" w:rsidRPr="000A74BB" w:rsidRDefault="00EF01E6" w:rsidP="00EF01E6">
            <w:pPr>
              <w:rPr>
                <w:rFonts w:ascii="Arial" w:hAnsi="Arial" w:cs="Arial"/>
                <w:sz w:val="20"/>
                <w:szCs w:val="20"/>
                <w:lang w:eastAsia="vi-VN"/>
              </w:rPr>
            </w:pPr>
          </w:p>
        </w:tc>
        <w:tc>
          <w:tcPr>
            <w:tcW w:w="1802" w:type="dxa"/>
            <w:tcBorders>
              <w:top w:val="single" w:sz="4" w:space="0" w:color="auto"/>
              <w:left w:val="nil"/>
              <w:bottom w:val="single" w:sz="4" w:space="0" w:color="auto"/>
              <w:right w:val="nil"/>
            </w:tcBorders>
            <w:vAlign w:val="center"/>
            <w:hideMark/>
          </w:tcPr>
          <w:p w14:paraId="4134A6A8"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r w:rsidRPr="000A74BB">
              <w:rPr>
                <w:rFonts w:ascii="Arial" w:hAnsi="Arial" w:cs="Arial"/>
                <w:sz w:val="20"/>
                <w:szCs w:val="20"/>
                <w:lang w:eastAsia="vi-VN"/>
              </w:rPr>
              <w:br/>
              <w:t>(Triệu tấn)</w:t>
            </w:r>
          </w:p>
        </w:tc>
        <w:tc>
          <w:tcPr>
            <w:tcW w:w="1873" w:type="dxa"/>
            <w:tcBorders>
              <w:top w:val="single" w:sz="4" w:space="0" w:color="auto"/>
              <w:left w:val="nil"/>
              <w:bottom w:val="single" w:sz="4" w:space="0" w:color="auto"/>
              <w:right w:val="nil"/>
            </w:tcBorders>
            <w:vAlign w:val="center"/>
            <w:hideMark/>
          </w:tcPr>
          <w:p w14:paraId="1BEA5300"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r w:rsidRPr="000A74BB">
              <w:rPr>
                <w:rFonts w:ascii="Arial" w:hAnsi="Arial" w:cs="Arial"/>
                <w:sz w:val="20"/>
                <w:szCs w:val="20"/>
                <w:lang w:eastAsia="vi-VN"/>
              </w:rPr>
              <w:br/>
              <w:t>(Tỷ tấn.km)</w:t>
            </w:r>
          </w:p>
        </w:tc>
        <w:tc>
          <w:tcPr>
            <w:tcW w:w="1769" w:type="dxa"/>
            <w:tcBorders>
              <w:top w:val="single" w:sz="4" w:space="0" w:color="auto"/>
              <w:left w:val="nil"/>
              <w:bottom w:val="single" w:sz="4" w:space="0" w:color="auto"/>
              <w:right w:val="nil"/>
            </w:tcBorders>
            <w:vAlign w:val="center"/>
            <w:hideMark/>
          </w:tcPr>
          <w:p w14:paraId="077EE3EC"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p>
        </w:tc>
        <w:tc>
          <w:tcPr>
            <w:tcW w:w="1496" w:type="dxa"/>
            <w:tcBorders>
              <w:top w:val="single" w:sz="4" w:space="0" w:color="auto"/>
              <w:left w:val="nil"/>
              <w:bottom w:val="single" w:sz="4" w:space="0" w:color="auto"/>
              <w:right w:val="nil"/>
            </w:tcBorders>
            <w:vAlign w:val="center"/>
            <w:hideMark/>
          </w:tcPr>
          <w:p w14:paraId="29FA7BB3" w14:textId="77777777" w:rsidR="00EF01E6" w:rsidRPr="000A74BB" w:rsidRDefault="00EF01E6" w:rsidP="00EF01E6">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p>
        </w:tc>
      </w:tr>
      <w:tr w:rsidR="00EF01E6" w:rsidRPr="000A74BB" w14:paraId="0484B3DC" w14:textId="77777777" w:rsidTr="00EF01E6">
        <w:trPr>
          <w:trHeight w:val="298"/>
          <w:jc w:val="center"/>
        </w:trPr>
        <w:tc>
          <w:tcPr>
            <w:tcW w:w="2203" w:type="dxa"/>
            <w:noWrap/>
            <w:vAlign w:val="center"/>
            <w:hideMark/>
          </w:tcPr>
          <w:p w14:paraId="00744989" w14:textId="77777777" w:rsidR="00EF01E6" w:rsidRPr="000A74BB" w:rsidRDefault="00EF01E6" w:rsidP="00EF01E6">
            <w:pPr>
              <w:spacing w:line="256" w:lineRule="auto"/>
              <w:rPr>
                <w:rFonts w:ascii="Arial" w:hAnsi="Arial" w:cs="Arial"/>
                <w:b/>
                <w:bCs/>
                <w:sz w:val="20"/>
                <w:szCs w:val="20"/>
                <w:lang w:eastAsia="vi-VN"/>
              </w:rPr>
            </w:pPr>
            <w:r w:rsidRPr="000A74BB">
              <w:rPr>
                <w:rFonts w:ascii="Arial" w:hAnsi="Arial" w:cs="Arial"/>
                <w:b/>
                <w:bCs/>
                <w:sz w:val="20"/>
                <w:szCs w:val="20"/>
                <w:lang w:eastAsia="vi-VN"/>
              </w:rPr>
              <w:t>Tổng số</w:t>
            </w:r>
          </w:p>
        </w:tc>
        <w:tc>
          <w:tcPr>
            <w:tcW w:w="1802" w:type="dxa"/>
            <w:tcBorders>
              <w:top w:val="single" w:sz="4" w:space="0" w:color="auto"/>
              <w:left w:val="nil"/>
              <w:bottom w:val="nil"/>
              <w:right w:val="nil"/>
            </w:tcBorders>
            <w:noWrap/>
            <w:vAlign w:val="center"/>
            <w:hideMark/>
          </w:tcPr>
          <w:p w14:paraId="0835C2CC" w14:textId="77777777" w:rsidR="00EF01E6" w:rsidRPr="000A74BB" w:rsidRDefault="00EF01E6" w:rsidP="00EF01E6">
            <w:pPr>
              <w:spacing w:line="256" w:lineRule="auto"/>
              <w:ind w:right="484"/>
              <w:jc w:val="right"/>
              <w:rPr>
                <w:rFonts w:ascii="Arial" w:hAnsi="Arial" w:cs="Arial"/>
                <w:b/>
                <w:bCs/>
                <w:sz w:val="20"/>
                <w:szCs w:val="20"/>
              </w:rPr>
            </w:pPr>
            <w:r w:rsidRPr="000A74BB">
              <w:rPr>
                <w:rFonts w:ascii="Arial" w:hAnsi="Arial" w:cs="Arial"/>
                <w:b/>
                <w:bCs/>
                <w:sz w:val="20"/>
                <w:szCs w:val="20"/>
              </w:rPr>
              <w:t xml:space="preserve">  1.673,5 </w:t>
            </w:r>
          </w:p>
        </w:tc>
        <w:tc>
          <w:tcPr>
            <w:tcW w:w="1873" w:type="dxa"/>
            <w:tcBorders>
              <w:top w:val="single" w:sz="4" w:space="0" w:color="auto"/>
              <w:left w:val="nil"/>
              <w:bottom w:val="nil"/>
              <w:right w:val="nil"/>
            </w:tcBorders>
            <w:noWrap/>
            <w:vAlign w:val="center"/>
            <w:hideMark/>
          </w:tcPr>
          <w:p w14:paraId="117EBE2A" w14:textId="77777777" w:rsidR="00EF01E6" w:rsidRPr="000A74BB" w:rsidRDefault="00EF01E6" w:rsidP="00EF01E6">
            <w:pPr>
              <w:spacing w:line="256" w:lineRule="auto"/>
              <w:ind w:right="484"/>
              <w:jc w:val="right"/>
              <w:rPr>
                <w:rFonts w:ascii="Arial" w:hAnsi="Arial" w:cs="Arial"/>
                <w:b/>
                <w:bCs/>
                <w:sz w:val="20"/>
                <w:szCs w:val="20"/>
              </w:rPr>
            </w:pPr>
            <w:r w:rsidRPr="000A74BB">
              <w:rPr>
                <w:rFonts w:ascii="Arial" w:hAnsi="Arial" w:cs="Arial"/>
                <w:b/>
                <w:bCs/>
                <w:sz w:val="20"/>
                <w:szCs w:val="20"/>
              </w:rPr>
              <w:t xml:space="preserve">    345,4 </w:t>
            </w:r>
          </w:p>
        </w:tc>
        <w:tc>
          <w:tcPr>
            <w:tcW w:w="1769" w:type="dxa"/>
            <w:tcBorders>
              <w:top w:val="single" w:sz="4" w:space="0" w:color="auto"/>
              <w:left w:val="nil"/>
              <w:bottom w:val="nil"/>
              <w:right w:val="nil"/>
            </w:tcBorders>
            <w:noWrap/>
            <w:vAlign w:val="center"/>
            <w:hideMark/>
          </w:tcPr>
          <w:p w14:paraId="46521D1F" w14:textId="77777777" w:rsidR="00EF01E6" w:rsidRPr="000A74BB" w:rsidRDefault="00EF01E6" w:rsidP="00EF01E6">
            <w:pPr>
              <w:spacing w:line="256" w:lineRule="auto"/>
              <w:ind w:right="484"/>
              <w:jc w:val="right"/>
              <w:rPr>
                <w:rFonts w:ascii="Arial" w:hAnsi="Arial" w:cs="Arial"/>
                <w:b/>
                <w:bCs/>
                <w:sz w:val="20"/>
                <w:szCs w:val="20"/>
              </w:rPr>
            </w:pPr>
            <w:r w:rsidRPr="000A74BB">
              <w:rPr>
                <w:rFonts w:ascii="Arial" w:hAnsi="Arial" w:cs="Arial"/>
                <w:b/>
                <w:bCs/>
                <w:sz w:val="20"/>
                <w:szCs w:val="20"/>
              </w:rPr>
              <w:t>13,7</w:t>
            </w:r>
          </w:p>
        </w:tc>
        <w:tc>
          <w:tcPr>
            <w:tcW w:w="1496" w:type="dxa"/>
            <w:tcBorders>
              <w:top w:val="single" w:sz="4" w:space="0" w:color="auto"/>
              <w:left w:val="nil"/>
              <w:bottom w:val="nil"/>
              <w:right w:val="nil"/>
            </w:tcBorders>
            <w:noWrap/>
            <w:vAlign w:val="center"/>
            <w:hideMark/>
          </w:tcPr>
          <w:p w14:paraId="573417DF" w14:textId="77777777" w:rsidR="00EF01E6" w:rsidRPr="000A74BB" w:rsidRDefault="00EF01E6" w:rsidP="00EF01E6">
            <w:pPr>
              <w:spacing w:line="256" w:lineRule="auto"/>
              <w:ind w:right="484"/>
              <w:jc w:val="right"/>
              <w:rPr>
                <w:rFonts w:ascii="Arial" w:hAnsi="Arial" w:cs="Arial"/>
                <w:b/>
                <w:bCs/>
                <w:sz w:val="20"/>
                <w:szCs w:val="20"/>
              </w:rPr>
            </w:pPr>
            <w:r w:rsidRPr="000A74BB">
              <w:rPr>
                <w:rFonts w:ascii="Arial" w:hAnsi="Arial" w:cs="Arial"/>
                <w:b/>
                <w:bCs/>
                <w:sz w:val="20"/>
                <w:szCs w:val="20"/>
              </w:rPr>
              <w:t>13,6</w:t>
            </w:r>
          </w:p>
        </w:tc>
      </w:tr>
      <w:tr w:rsidR="00EF01E6" w:rsidRPr="000A74BB" w14:paraId="0193ED98" w14:textId="77777777" w:rsidTr="00EF01E6">
        <w:trPr>
          <w:trHeight w:val="249"/>
          <w:jc w:val="center"/>
        </w:trPr>
        <w:tc>
          <w:tcPr>
            <w:tcW w:w="2203" w:type="dxa"/>
            <w:noWrap/>
            <w:vAlign w:val="center"/>
            <w:hideMark/>
          </w:tcPr>
          <w:p w14:paraId="71F4BD56"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sắt</w:t>
            </w:r>
          </w:p>
        </w:tc>
        <w:tc>
          <w:tcPr>
            <w:tcW w:w="1802" w:type="dxa"/>
            <w:noWrap/>
            <w:vAlign w:val="center"/>
            <w:hideMark/>
          </w:tcPr>
          <w:p w14:paraId="551071D8"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3,1 </w:t>
            </w:r>
          </w:p>
        </w:tc>
        <w:tc>
          <w:tcPr>
            <w:tcW w:w="1873" w:type="dxa"/>
            <w:noWrap/>
            <w:vAlign w:val="center"/>
            <w:hideMark/>
          </w:tcPr>
          <w:p w14:paraId="72EC50FE"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2,3 </w:t>
            </w:r>
          </w:p>
        </w:tc>
        <w:tc>
          <w:tcPr>
            <w:tcW w:w="1769" w:type="dxa"/>
            <w:noWrap/>
            <w:vAlign w:val="center"/>
            <w:hideMark/>
          </w:tcPr>
          <w:p w14:paraId="6EEC2532"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5,6</w:t>
            </w:r>
          </w:p>
        </w:tc>
        <w:tc>
          <w:tcPr>
            <w:tcW w:w="1496" w:type="dxa"/>
            <w:noWrap/>
            <w:vAlign w:val="center"/>
            <w:hideMark/>
          </w:tcPr>
          <w:p w14:paraId="745BD1FE"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5,2</w:t>
            </w:r>
          </w:p>
        </w:tc>
      </w:tr>
      <w:tr w:rsidR="00EF01E6" w:rsidRPr="000A74BB" w14:paraId="12862ACF" w14:textId="77777777" w:rsidTr="00EF01E6">
        <w:trPr>
          <w:trHeight w:val="249"/>
          <w:jc w:val="center"/>
        </w:trPr>
        <w:tc>
          <w:tcPr>
            <w:tcW w:w="2203" w:type="dxa"/>
            <w:noWrap/>
            <w:vAlign w:val="center"/>
            <w:hideMark/>
          </w:tcPr>
          <w:p w14:paraId="230E9E7C"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biển</w:t>
            </w:r>
          </w:p>
        </w:tc>
        <w:tc>
          <w:tcPr>
            <w:tcW w:w="1802" w:type="dxa"/>
            <w:noWrap/>
            <w:vAlign w:val="center"/>
            <w:hideMark/>
          </w:tcPr>
          <w:p w14:paraId="02E2D2B8"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87,9 </w:t>
            </w:r>
          </w:p>
        </w:tc>
        <w:tc>
          <w:tcPr>
            <w:tcW w:w="1873" w:type="dxa"/>
            <w:noWrap/>
            <w:vAlign w:val="center"/>
            <w:hideMark/>
          </w:tcPr>
          <w:p w14:paraId="52BA8963"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184,0 </w:t>
            </w:r>
          </w:p>
        </w:tc>
        <w:tc>
          <w:tcPr>
            <w:tcW w:w="1769" w:type="dxa"/>
            <w:noWrap/>
            <w:vAlign w:val="center"/>
            <w:hideMark/>
          </w:tcPr>
          <w:p w14:paraId="5935876D"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14,6</w:t>
            </w:r>
          </w:p>
        </w:tc>
        <w:tc>
          <w:tcPr>
            <w:tcW w:w="1496" w:type="dxa"/>
            <w:noWrap/>
            <w:vAlign w:val="center"/>
            <w:hideMark/>
          </w:tcPr>
          <w:p w14:paraId="75993B55"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16,4</w:t>
            </w:r>
          </w:p>
        </w:tc>
      </w:tr>
      <w:tr w:rsidR="00EF01E6" w:rsidRPr="000A74BB" w14:paraId="0613297D" w14:textId="77777777" w:rsidTr="00EF01E6">
        <w:trPr>
          <w:trHeight w:val="249"/>
          <w:jc w:val="center"/>
        </w:trPr>
        <w:tc>
          <w:tcPr>
            <w:tcW w:w="2203" w:type="dxa"/>
            <w:noWrap/>
            <w:vAlign w:val="center"/>
            <w:hideMark/>
          </w:tcPr>
          <w:p w14:paraId="402515A6"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thủy nội địa</w:t>
            </w:r>
          </w:p>
        </w:tc>
        <w:tc>
          <w:tcPr>
            <w:tcW w:w="1802" w:type="dxa"/>
            <w:noWrap/>
            <w:vAlign w:val="center"/>
            <w:hideMark/>
          </w:tcPr>
          <w:p w14:paraId="69BC61F6"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354,7 </w:t>
            </w:r>
          </w:p>
        </w:tc>
        <w:tc>
          <w:tcPr>
            <w:tcW w:w="1873" w:type="dxa"/>
            <w:noWrap/>
            <w:vAlign w:val="center"/>
            <w:hideMark/>
          </w:tcPr>
          <w:p w14:paraId="7B070057"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77,9 </w:t>
            </w:r>
          </w:p>
        </w:tc>
        <w:tc>
          <w:tcPr>
            <w:tcW w:w="1769" w:type="dxa"/>
            <w:noWrap/>
            <w:vAlign w:val="center"/>
            <w:hideMark/>
          </w:tcPr>
          <w:p w14:paraId="56A511F9"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12,3</w:t>
            </w:r>
          </w:p>
        </w:tc>
        <w:tc>
          <w:tcPr>
            <w:tcW w:w="1496" w:type="dxa"/>
            <w:noWrap/>
            <w:vAlign w:val="center"/>
            <w:hideMark/>
          </w:tcPr>
          <w:p w14:paraId="15AF6DC7"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13,5</w:t>
            </w:r>
          </w:p>
        </w:tc>
      </w:tr>
      <w:tr w:rsidR="00EF01E6" w:rsidRPr="000A74BB" w14:paraId="05A16F93" w14:textId="77777777" w:rsidTr="00EF01E6">
        <w:trPr>
          <w:trHeight w:val="249"/>
          <w:jc w:val="center"/>
        </w:trPr>
        <w:tc>
          <w:tcPr>
            <w:tcW w:w="2203" w:type="dxa"/>
            <w:noWrap/>
            <w:vAlign w:val="center"/>
            <w:hideMark/>
          </w:tcPr>
          <w:p w14:paraId="282B4ABF"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bộ</w:t>
            </w:r>
          </w:p>
        </w:tc>
        <w:tc>
          <w:tcPr>
            <w:tcW w:w="1802" w:type="dxa"/>
            <w:noWrap/>
            <w:vAlign w:val="center"/>
            <w:hideMark/>
          </w:tcPr>
          <w:p w14:paraId="1FDF4CEB"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1.227,5 </w:t>
            </w:r>
          </w:p>
        </w:tc>
        <w:tc>
          <w:tcPr>
            <w:tcW w:w="1873" w:type="dxa"/>
            <w:noWrap/>
            <w:vAlign w:val="center"/>
            <w:hideMark/>
          </w:tcPr>
          <w:p w14:paraId="54968A71"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75,5 </w:t>
            </w:r>
          </w:p>
        </w:tc>
        <w:tc>
          <w:tcPr>
            <w:tcW w:w="1769" w:type="dxa"/>
            <w:noWrap/>
            <w:vAlign w:val="center"/>
            <w:hideMark/>
          </w:tcPr>
          <w:p w14:paraId="2E49FE4C"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14,1</w:t>
            </w:r>
          </w:p>
        </w:tc>
        <w:tc>
          <w:tcPr>
            <w:tcW w:w="1496" w:type="dxa"/>
            <w:noWrap/>
            <w:vAlign w:val="center"/>
            <w:hideMark/>
          </w:tcPr>
          <w:p w14:paraId="67AD7D01"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8,9</w:t>
            </w:r>
          </w:p>
        </w:tc>
      </w:tr>
      <w:tr w:rsidR="00EF01E6" w:rsidRPr="000A74BB" w14:paraId="53F85B87" w14:textId="77777777" w:rsidTr="00EF01E6">
        <w:trPr>
          <w:trHeight w:val="249"/>
          <w:jc w:val="center"/>
        </w:trPr>
        <w:tc>
          <w:tcPr>
            <w:tcW w:w="2203" w:type="dxa"/>
            <w:tcBorders>
              <w:top w:val="nil"/>
              <w:left w:val="nil"/>
              <w:bottom w:val="single" w:sz="4" w:space="0" w:color="auto"/>
              <w:right w:val="nil"/>
            </w:tcBorders>
            <w:noWrap/>
            <w:vAlign w:val="center"/>
            <w:hideMark/>
          </w:tcPr>
          <w:p w14:paraId="1D421692" w14:textId="77777777" w:rsidR="00EF01E6" w:rsidRPr="000A74BB" w:rsidRDefault="00EF01E6" w:rsidP="00EF01E6">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Hàng không</w:t>
            </w:r>
          </w:p>
        </w:tc>
        <w:tc>
          <w:tcPr>
            <w:tcW w:w="1802" w:type="dxa"/>
            <w:tcBorders>
              <w:top w:val="nil"/>
              <w:left w:val="nil"/>
              <w:bottom w:val="single" w:sz="4" w:space="0" w:color="auto"/>
              <w:right w:val="nil"/>
            </w:tcBorders>
            <w:noWrap/>
            <w:vAlign w:val="center"/>
            <w:hideMark/>
          </w:tcPr>
          <w:p w14:paraId="0B68B369"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0,3 </w:t>
            </w:r>
          </w:p>
        </w:tc>
        <w:tc>
          <w:tcPr>
            <w:tcW w:w="1873" w:type="dxa"/>
            <w:tcBorders>
              <w:top w:val="nil"/>
              <w:left w:val="nil"/>
              <w:bottom w:val="single" w:sz="4" w:space="0" w:color="auto"/>
              <w:right w:val="nil"/>
            </w:tcBorders>
            <w:noWrap/>
            <w:vAlign w:val="center"/>
            <w:hideMark/>
          </w:tcPr>
          <w:p w14:paraId="4AB78ADA"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 xml:space="preserve">        5,7 </w:t>
            </w:r>
          </w:p>
        </w:tc>
        <w:tc>
          <w:tcPr>
            <w:tcW w:w="1769" w:type="dxa"/>
            <w:tcBorders>
              <w:top w:val="nil"/>
              <w:left w:val="nil"/>
              <w:bottom w:val="single" w:sz="4" w:space="0" w:color="auto"/>
              <w:right w:val="nil"/>
            </w:tcBorders>
            <w:noWrap/>
            <w:vAlign w:val="center"/>
            <w:hideMark/>
          </w:tcPr>
          <w:p w14:paraId="7E56A083"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6,7</w:t>
            </w:r>
          </w:p>
        </w:tc>
        <w:tc>
          <w:tcPr>
            <w:tcW w:w="1496" w:type="dxa"/>
            <w:tcBorders>
              <w:top w:val="nil"/>
              <w:left w:val="nil"/>
              <w:bottom w:val="single" w:sz="4" w:space="0" w:color="auto"/>
              <w:right w:val="nil"/>
            </w:tcBorders>
            <w:noWrap/>
            <w:vAlign w:val="center"/>
            <w:hideMark/>
          </w:tcPr>
          <w:p w14:paraId="5C58C131" w14:textId="77777777" w:rsidR="00EF01E6" w:rsidRPr="000A74BB" w:rsidRDefault="00EF01E6" w:rsidP="00EF01E6">
            <w:pPr>
              <w:spacing w:line="256" w:lineRule="auto"/>
              <w:ind w:right="484"/>
              <w:jc w:val="right"/>
              <w:rPr>
                <w:rFonts w:ascii="Arial" w:hAnsi="Arial" w:cs="Arial"/>
                <w:sz w:val="20"/>
                <w:szCs w:val="20"/>
              </w:rPr>
            </w:pPr>
            <w:r w:rsidRPr="000A74BB">
              <w:rPr>
                <w:rFonts w:ascii="Arial" w:hAnsi="Arial" w:cs="Arial"/>
                <w:sz w:val="20"/>
                <w:szCs w:val="20"/>
              </w:rPr>
              <w:t>-3,9</w:t>
            </w:r>
          </w:p>
        </w:tc>
      </w:tr>
    </w:tbl>
    <w:p w14:paraId="79DC2501" w14:textId="77777777" w:rsidR="00EF01E6" w:rsidRPr="000A74BB" w:rsidRDefault="00EF01E6" w:rsidP="008B5944">
      <w:pPr>
        <w:spacing w:before="120" w:after="120" w:line="252" w:lineRule="auto"/>
        <w:ind w:firstLine="720"/>
        <w:jc w:val="both"/>
        <w:rPr>
          <w:b/>
          <w:bCs/>
          <w:i/>
        </w:rPr>
      </w:pPr>
      <w:r w:rsidRPr="000A74BB">
        <w:rPr>
          <w:b/>
          <w:bCs/>
          <w:i/>
          <w:iCs/>
        </w:rPr>
        <w:t>đ) Khách quốc tế đến Việt Nam</w:t>
      </w:r>
      <w:r w:rsidRPr="000A74BB">
        <w:rPr>
          <w:rFonts w:eastAsia="Calibri"/>
          <w:i/>
          <w:iCs/>
          <w:vertAlign w:val="superscript"/>
        </w:rPr>
        <w:footnoteReference w:id="26"/>
      </w:r>
    </w:p>
    <w:p w14:paraId="0D8484D6" w14:textId="77777777" w:rsidR="00EF01E6" w:rsidRPr="000A74BB" w:rsidRDefault="00EF01E6" w:rsidP="008B5944">
      <w:pPr>
        <w:spacing w:after="120" w:line="252" w:lineRule="auto"/>
        <w:ind w:firstLine="720"/>
        <w:jc w:val="both"/>
        <w:rPr>
          <w:rFonts w:eastAsia="Calibri"/>
          <w:i/>
          <w:iCs/>
          <w:lang w:val="fr-FR"/>
        </w:rPr>
      </w:pPr>
      <w:r w:rsidRPr="000A74BB">
        <w:rPr>
          <w:rFonts w:eastAsia="Calibri"/>
          <w:i/>
          <w:iCs/>
          <w:lang w:val="fr-FR"/>
        </w:rPr>
        <w:t xml:space="preserve">Chính sách thị thực thuận lợi, các chương trình quảng bá, xúc tiến du lịch được đẩy mạnh cùng với các hoạt động chào mừng các ngày lễ lớn của dân tộc đã thu hút khách quốc tế đến Việt Nam ngày càng tăng. </w:t>
      </w:r>
    </w:p>
    <w:p w14:paraId="2FE8C7C1" w14:textId="77777777" w:rsidR="00EF01E6" w:rsidRPr="000A74BB" w:rsidRDefault="00EF01E6" w:rsidP="008B5944">
      <w:pPr>
        <w:spacing w:after="120" w:line="252" w:lineRule="auto"/>
        <w:ind w:firstLine="720"/>
        <w:jc w:val="both"/>
        <w:rPr>
          <w:rFonts w:ascii="Arial" w:hAnsi="Arial" w:cs="Arial"/>
          <w:b/>
          <w:sz w:val="24"/>
          <w:szCs w:val="24"/>
          <w:lang w:val="fr-FR"/>
        </w:rPr>
      </w:pPr>
      <w:r w:rsidRPr="000A74BB">
        <w:rPr>
          <w:rFonts w:eastAsia="Calibri"/>
          <w:lang w:val="fr-FR"/>
        </w:rPr>
        <w:t>Trong tháng Bảy</w:t>
      </w:r>
      <w:r w:rsidRPr="000A74BB">
        <w:rPr>
          <w:rFonts w:eastAsia="Calibri"/>
          <w:vertAlign w:val="superscript"/>
          <w:lang w:val="fr-FR"/>
        </w:rPr>
        <w:footnoteReference w:id="27"/>
      </w:r>
      <w:r w:rsidRPr="000A74BB">
        <w:rPr>
          <w:rFonts w:eastAsia="Calibri"/>
          <w:lang w:val="fr-FR"/>
        </w:rPr>
        <w:t xml:space="preserve">, khách quốc tế đến nước ta đạt 1,56 triệu lượt người, tăng 6,8% so với tháng trước và tăng 35,7% so với cùng kỳ năm trước. Tính chung bảy tháng năm 2025, khách quốc tế đến Việt Nam đạt 12,23 triệu lượt người, tăng 22,5% so với cùng kỳ năm trước. Trong đó, khách đến bằng đường </w:t>
      </w:r>
      <w:r w:rsidRPr="000A74BB">
        <w:rPr>
          <w:rFonts w:eastAsia="Calibri"/>
          <w:lang w:val="fr-FR"/>
        </w:rPr>
        <w:lastRenderedPageBreak/>
        <w:t>hàng không đạt 10,4 triệu lượt người, chiếm 85,1% lượng khách quốc tế đến và tăng 23,8% so với cùng kỳ năm trước; bằng đường bộ đạt 1,6 triệu lượt người, chiếm 13,4% và tăng 15,8%; bằng đường biển đạt 183,9 nghìn lượt người, chiếm 1,5% và tăng 11,1%.</w:t>
      </w:r>
    </w:p>
    <w:p w14:paraId="104411EE" w14:textId="1F8777DF" w:rsidR="00EF01E6" w:rsidRPr="000A74BB" w:rsidRDefault="00EF01E6" w:rsidP="00EF01E6">
      <w:pPr>
        <w:shd w:val="clear" w:color="auto" w:fill="FFFFFF"/>
        <w:spacing w:before="80"/>
        <w:jc w:val="center"/>
        <w:rPr>
          <w:rFonts w:ascii="Arial" w:hAnsi="Arial" w:cs="Arial"/>
          <w:b/>
          <w:sz w:val="24"/>
          <w:szCs w:val="24"/>
          <w:lang w:val="fr-FR"/>
        </w:rPr>
      </w:pPr>
      <w:r w:rsidRPr="000A74BB">
        <w:rPr>
          <w:rFonts w:ascii="Arial" w:hAnsi="Arial" w:cs="Arial"/>
          <w:b/>
          <w:sz w:val="24"/>
          <w:szCs w:val="24"/>
          <w:lang w:val="fr-FR"/>
        </w:rPr>
        <w:t>Hình 16. Khách quốc tế đến Việt Nam 7 tháng năm 2025</w:t>
      </w:r>
    </w:p>
    <w:p w14:paraId="1E7090A2" w14:textId="77777777" w:rsidR="00EF01E6" w:rsidRPr="000A74BB" w:rsidRDefault="00EF01E6" w:rsidP="00EF01E6">
      <w:pPr>
        <w:spacing w:before="80"/>
        <w:jc w:val="center"/>
        <w:rPr>
          <w:rFonts w:ascii="Arial" w:hAnsi="Arial" w:cs="Arial"/>
          <w:b/>
          <w:sz w:val="24"/>
          <w:szCs w:val="24"/>
        </w:rPr>
      </w:pPr>
      <w:r w:rsidRPr="000A74BB">
        <w:rPr>
          <w:rFonts w:ascii="Arial" w:hAnsi="Arial" w:cs="Arial"/>
          <w:b/>
          <w:sz w:val="24"/>
          <w:szCs w:val="24"/>
        </w:rPr>
        <w:t>phân theo vùng lãnh thổ</w:t>
      </w:r>
    </w:p>
    <w:p w14:paraId="5F696107" w14:textId="77777777" w:rsidR="00EF01E6" w:rsidRPr="000A74BB" w:rsidRDefault="00EF01E6" w:rsidP="00EF01E6">
      <w:pPr>
        <w:spacing w:before="40"/>
        <w:jc w:val="center"/>
        <w:rPr>
          <w:rFonts w:ascii="Arial" w:hAnsi="Arial" w:cs="Arial"/>
          <w:b/>
          <w:sz w:val="24"/>
          <w:szCs w:val="24"/>
        </w:rPr>
      </w:pPr>
      <w:r w:rsidRPr="000A74BB">
        <w:rPr>
          <w:noProof/>
        </w:rPr>
        <w:drawing>
          <wp:inline distT="0" distB="0" distL="0" distR="0" wp14:anchorId="5E6C83BD" wp14:editId="631CA1EA">
            <wp:extent cx="5702935" cy="2440379"/>
            <wp:effectExtent l="0" t="0" r="0" b="0"/>
            <wp:docPr id="16"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A screenshot of a graph&#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488" cy="2443611"/>
                    </a:xfrm>
                    <a:prstGeom prst="rect">
                      <a:avLst/>
                    </a:prstGeom>
                    <a:noFill/>
                    <a:ln>
                      <a:noFill/>
                    </a:ln>
                  </pic:spPr>
                </pic:pic>
              </a:graphicData>
            </a:graphic>
          </wp:inline>
        </w:drawing>
      </w:r>
    </w:p>
    <w:p w14:paraId="690EA86D" w14:textId="77777777" w:rsidR="00796815" w:rsidRPr="000A74BB" w:rsidRDefault="00796815" w:rsidP="008B5944">
      <w:pPr>
        <w:spacing w:before="120" w:after="120" w:line="245" w:lineRule="auto"/>
        <w:ind w:firstLine="720"/>
        <w:jc w:val="both"/>
        <w:rPr>
          <w:b/>
          <w:bCs/>
        </w:rPr>
      </w:pPr>
      <w:r w:rsidRPr="000A74BB">
        <w:rPr>
          <w:b/>
          <w:bCs/>
        </w:rPr>
        <w:t>7. Một số tình hình xã hội</w:t>
      </w:r>
    </w:p>
    <w:p w14:paraId="63F978D8" w14:textId="77777777" w:rsidR="00EF01E6" w:rsidRPr="000A74BB" w:rsidRDefault="00EF01E6" w:rsidP="008B5944">
      <w:pPr>
        <w:tabs>
          <w:tab w:val="left" w:pos="709"/>
          <w:tab w:val="left" w:pos="1134"/>
        </w:tabs>
        <w:spacing w:after="120" w:line="245" w:lineRule="auto"/>
        <w:ind w:firstLine="720"/>
        <w:jc w:val="both"/>
        <w:rPr>
          <w:b/>
          <w:i/>
        </w:rPr>
      </w:pPr>
      <w:r w:rsidRPr="000A74BB">
        <w:rPr>
          <w:b/>
          <w:i/>
        </w:rPr>
        <w:t xml:space="preserve">a) Đời sống dân cư </w:t>
      </w:r>
    </w:p>
    <w:p w14:paraId="749DF58B" w14:textId="0F24EA7D" w:rsidR="00EF01E6" w:rsidRPr="000A74BB" w:rsidRDefault="00EF01E6" w:rsidP="008B5944">
      <w:pPr>
        <w:tabs>
          <w:tab w:val="left" w:pos="851"/>
        </w:tabs>
        <w:spacing w:after="120" w:line="245" w:lineRule="auto"/>
        <w:ind w:firstLine="720"/>
        <w:jc w:val="both"/>
        <w:rPr>
          <w:bCs/>
          <w:snapToGrid w:val="0"/>
        </w:rPr>
      </w:pPr>
      <w:r w:rsidRPr="000A74BB">
        <w:rPr>
          <w:bCs/>
          <w:snapToGrid w:val="0"/>
        </w:rPr>
        <w:t xml:space="preserve">Theo kết quả sơ bộ </w:t>
      </w:r>
      <w:r w:rsidRPr="000A74BB">
        <w:t>Điều tra lao động việc làm</w:t>
      </w:r>
      <w:r w:rsidRPr="000A74BB">
        <w:rPr>
          <w:bCs/>
          <w:snapToGrid w:val="0"/>
        </w:rPr>
        <w:t>, t</w:t>
      </w:r>
      <w:r w:rsidRPr="000A74BB">
        <w:rPr>
          <w:snapToGrid w:val="0"/>
        </w:rPr>
        <w:t xml:space="preserve">ỷ lệ hộ đánh giá có thu nhập tháng Bảy không thay đổi và tăng lên so với tháng cùng kỳ năm trước là </w:t>
      </w:r>
      <w:r w:rsidRPr="00306C05">
        <w:rPr>
          <w:bCs/>
          <w:snapToGrid w:val="0"/>
        </w:rPr>
        <w:t>96,2%</w:t>
      </w:r>
      <w:r w:rsidRPr="000A74BB">
        <w:rPr>
          <w:snapToGrid w:val="0"/>
        </w:rPr>
        <w:t xml:space="preserve"> (giảm 0,4 điểm phần trăm so với kỳ báo cáo tháng trước và </w:t>
      </w:r>
      <w:r w:rsidRPr="000A74BB">
        <w:rPr>
          <w:bCs/>
          <w:snapToGrid w:val="0"/>
        </w:rPr>
        <w:t>tăng 0,4 điểm phần trăm so với cùng kỳ năm trước</w:t>
      </w:r>
      <w:r w:rsidRPr="000A74BB">
        <w:rPr>
          <w:snapToGrid w:val="0"/>
        </w:rPr>
        <w:t>);</w:t>
      </w:r>
      <w:r w:rsidRPr="000A74BB">
        <w:rPr>
          <w:bCs/>
          <w:snapToGrid w:val="0"/>
        </w:rPr>
        <w:t xml:space="preserve"> tỷ lệ hộ đánh giá có thu nhập giảm là </w:t>
      </w:r>
      <w:r w:rsidRPr="00306C05">
        <w:rPr>
          <w:bCs/>
          <w:snapToGrid w:val="0"/>
        </w:rPr>
        <w:t>3,8</w:t>
      </w:r>
      <w:r w:rsidRPr="000A74BB">
        <w:rPr>
          <w:bCs/>
          <w:snapToGrid w:val="0"/>
        </w:rPr>
        <w:t>%.</w:t>
      </w:r>
    </w:p>
    <w:p w14:paraId="6AE1D818" w14:textId="77777777" w:rsidR="00EF01E6" w:rsidRPr="000A74BB" w:rsidRDefault="00EF01E6" w:rsidP="008B5944">
      <w:pPr>
        <w:spacing w:after="120" w:line="245" w:lineRule="auto"/>
        <w:ind w:firstLine="720"/>
        <w:jc w:val="both"/>
        <w:rPr>
          <w:bCs/>
          <w:snapToGrid w:val="0"/>
          <w:spacing w:val="-4"/>
        </w:rPr>
      </w:pPr>
      <w:r w:rsidRPr="000A74BB">
        <w:rPr>
          <w:bCs/>
          <w:snapToGrid w:val="0"/>
          <w:spacing w:val="-4"/>
        </w:rPr>
        <w:t>Các hộ có thu nhập tháng Bảy giảm so với cùng kỳ năm trước nhận định các nguyên nhân</w:t>
      </w:r>
      <w:r w:rsidRPr="000A74BB">
        <w:rPr>
          <w:bCs/>
          <w:snapToGrid w:val="0"/>
          <w:spacing w:val="-4"/>
          <w:vertAlign w:val="superscript"/>
          <w:lang w:val="nl-NL"/>
        </w:rPr>
        <w:footnoteReference w:id="28"/>
      </w:r>
      <w:r w:rsidRPr="000A74BB">
        <w:rPr>
          <w:bCs/>
          <w:snapToGrid w:val="0"/>
          <w:spacing w:val="-4"/>
        </w:rPr>
        <w:t xml:space="preserve"> chủ yếu là do: Có thành viên hộ mất việc làm hoặc tạm nghỉ việc (chiếm </w:t>
      </w:r>
      <w:r w:rsidRPr="00306C05">
        <w:rPr>
          <w:bCs/>
          <w:snapToGrid w:val="0"/>
          <w:spacing w:val="-4"/>
        </w:rPr>
        <w:t>34,2</w:t>
      </w:r>
      <w:r w:rsidRPr="000A74BB">
        <w:rPr>
          <w:bCs/>
          <w:snapToGrid w:val="0"/>
          <w:spacing w:val="-4"/>
        </w:rPr>
        <w:t>%); chi phí đầu vào cho các hoạt động sản xuất kinh doanh của hộ tăng (</w:t>
      </w:r>
      <w:r w:rsidRPr="00306C05">
        <w:rPr>
          <w:bCs/>
          <w:snapToGrid w:val="0"/>
          <w:spacing w:val="-4"/>
        </w:rPr>
        <w:t>29,5</w:t>
      </w:r>
      <w:r w:rsidRPr="000A74BB">
        <w:rPr>
          <w:bCs/>
          <w:snapToGrid w:val="0"/>
          <w:spacing w:val="-4"/>
        </w:rPr>
        <w:t>%); quy mô các hoạt động sản xuất kinh doanh của hộ giảm (</w:t>
      </w:r>
      <w:r w:rsidRPr="00306C05">
        <w:rPr>
          <w:bCs/>
          <w:snapToGrid w:val="0"/>
          <w:spacing w:val="-4"/>
        </w:rPr>
        <w:t>29,4</w:t>
      </w:r>
      <w:r w:rsidRPr="000A74BB">
        <w:rPr>
          <w:bCs/>
          <w:snapToGrid w:val="0"/>
          <w:spacing w:val="-4"/>
        </w:rPr>
        <w:t>%); giá bán các sản phẩm từ các hoạt động sản xuất kinh doanh của hộ giảm (</w:t>
      </w:r>
      <w:r w:rsidRPr="00306C05">
        <w:rPr>
          <w:bCs/>
          <w:snapToGrid w:val="0"/>
          <w:spacing w:val="-4"/>
        </w:rPr>
        <w:t>25,0</w:t>
      </w:r>
      <w:r w:rsidRPr="000A74BB">
        <w:rPr>
          <w:bCs/>
          <w:snapToGrid w:val="0"/>
          <w:spacing w:val="-4"/>
        </w:rPr>
        <w:t>%).</w:t>
      </w:r>
    </w:p>
    <w:p w14:paraId="752C01A2" w14:textId="77777777" w:rsidR="00EF01E6" w:rsidRPr="000A74BB" w:rsidRDefault="00EF01E6" w:rsidP="008B5944">
      <w:pPr>
        <w:spacing w:after="120" w:line="245" w:lineRule="auto"/>
        <w:ind w:firstLine="720"/>
        <w:jc w:val="both"/>
        <w:rPr>
          <w:bCs/>
          <w:snapToGrid w:val="0"/>
        </w:rPr>
      </w:pPr>
      <w:r w:rsidRPr="000A74BB">
        <w:rPr>
          <w:bCs/>
          <w:snapToGrid w:val="0"/>
        </w:rPr>
        <w:t xml:space="preserve">Trong bảy tháng năm 2025, có </w:t>
      </w:r>
      <w:r w:rsidRPr="00306C05">
        <w:rPr>
          <w:bCs/>
          <w:snapToGrid w:val="0"/>
        </w:rPr>
        <w:t>29,4</w:t>
      </w:r>
      <w:r w:rsidRPr="000A74BB">
        <w:rPr>
          <w:bCs/>
          <w:snapToGrid w:val="0"/>
        </w:rPr>
        <w:t xml:space="preserve">% hộ cho biết đã trải qua ít nhất một sự kiện gây ảnh hưởng tiêu cực đến đời sống gia đình. Trong số các hộ chịu ảnh hưởng tiêu cực của các sự kiện, có </w:t>
      </w:r>
      <w:r w:rsidRPr="00306C05">
        <w:rPr>
          <w:bCs/>
          <w:snapToGrid w:val="0"/>
        </w:rPr>
        <w:t>28,7</w:t>
      </w:r>
      <w:r w:rsidRPr="000A74BB">
        <w:rPr>
          <w:bCs/>
          <w:snapToGrid w:val="0"/>
        </w:rPr>
        <w:t xml:space="preserve">% hộ đang phải chịu những ảnh hưởng do giá cả hàng hóa, dịch vụ tăng cao; </w:t>
      </w:r>
      <w:r w:rsidRPr="00306C05">
        <w:rPr>
          <w:bCs/>
          <w:snapToGrid w:val="0"/>
        </w:rPr>
        <w:t>2,4</w:t>
      </w:r>
      <w:r w:rsidRPr="000A74BB">
        <w:rPr>
          <w:bCs/>
          <w:snapToGrid w:val="0"/>
        </w:rPr>
        <w:t>% hộ chịu ảnh hưởng tiêu cực từ dịch bệnh đối với con người; 1,7% hộ chịu ảnh hưởng tiêu cực từ thiên tai và 1,7% hộ chịu ảnh hưởng tiêu cực từ dịch bệnh đối với vật nuôi, cây trồng.</w:t>
      </w:r>
    </w:p>
    <w:p w14:paraId="344799DD" w14:textId="77777777" w:rsidR="00EF01E6" w:rsidRPr="000A74BB" w:rsidRDefault="00EF01E6" w:rsidP="008B5944">
      <w:pPr>
        <w:tabs>
          <w:tab w:val="left" w:pos="851"/>
        </w:tabs>
        <w:spacing w:after="120" w:line="245" w:lineRule="auto"/>
        <w:ind w:firstLine="720"/>
        <w:jc w:val="both"/>
        <w:rPr>
          <w:bCs/>
          <w:snapToGrid w:val="0"/>
        </w:rPr>
      </w:pPr>
      <w:r w:rsidRPr="000A74BB">
        <w:rPr>
          <w:bCs/>
          <w:snapToGrid w:val="0"/>
        </w:rPr>
        <w:t>Trong bảy tháng năm</w:t>
      </w:r>
      <w:r w:rsidRPr="000A74BB">
        <w:rPr>
          <w:bCs/>
          <w:snapToGrid w:val="0"/>
          <w:lang w:val="vi-VN"/>
        </w:rPr>
        <w:t xml:space="preserve"> nay</w:t>
      </w:r>
      <w:r w:rsidRPr="000A74BB">
        <w:rPr>
          <w:bCs/>
          <w:snapToGrid w:val="0"/>
        </w:rPr>
        <w:t xml:space="preserve">, có </w:t>
      </w:r>
      <w:r w:rsidRPr="00306C05">
        <w:rPr>
          <w:bCs/>
          <w:snapToGrid w:val="0"/>
        </w:rPr>
        <w:t>13,3</w:t>
      </w:r>
      <w:r w:rsidRPr="000A74BB">
        <w:rPr>
          <w:bCs/>
          <w:snapToGrid w:val="0"/>
        </w:rPr>
        <w:t xml:space="preserve">% hộ gia đình được phỏng vấn nhận được trợ giúp từ các nguồn hỗ trợ khác nhau. Trong đó, tỷ lệ hộ nhận được trợ giúp từ họ hàng, người thân là </w:t>
      </w:r>
      <w:r w:rsidRPr="00306C05">
        <w:rPr>
          <w:bCs/>
          <w:snapToGrid w:val="0"/>
        </w:rPr>
        <w:t>9,3</w:t>
      </w:r>
      <w:r w:rsidRPr="000A74BB">
        <w:rPr>
          <w:bCs/>
          <w:snapToGrid w:val="0"/>
        </w:rPr>
        <w:t xml:space="preserve">%; từ các chương trình, chính sách của địa phương là </w:t>
      </w:r>
      <w:r w:rsidRPr="00306C05">
        <w:rPr>
          <w:bCs/>
          <w:snapToGrid w:val="0"/>
        </w:rPr>
        <w:t>4,9</w:t>
      </w:r>
      <w:r w:rsidRPr="000A74BB">
        <w:rPr>
          <w:bCs/>
          <w:snapToGrid w:val="0"/>
        </w:rPr>
        <w:t xml:space="preserve">%; từ các chương trình, chính sách chung của quốc gia là </w:t>
      </w:r>
      <w:r w:rsidRPr="00306C05">
        <w:rPr>
          <w:bCs/>
          <w:snapToGrid w:val="0"/>
        </w:rPr>
        <w:t>4,7</w:t>
      </w:r>
      <w:r w:rsidRPr="000A74BB">
        <w:rPr>
          <w:bCs/>
          <w:snapToGrid w:val="0"/>
        </w:rPr>
        <w:t xml:space="preserve">%; từ </w:t>
      </w:r>
      <w:r w:rsidRPr="000A74BB">
        <w:rPr>
          <w:bCs/>
          <w:snapToGrid w:val="0"/>
        </w:rPr>
        <w:lastRenderedPageBreak/>
        <w:t>các hoạt động từ thiện của các tổ chức và cá nhân khác là 1,7% và từ các nguồn khác là 0,01%.</w:t>
      </w:r>
    </w:p>
    <w:p w14:paraId="39E6906C" w14:textId="77777777" w:rsidR="00EF01E6" w:rsidRPr="000A74BB" w:rsidRDefault="00EF01E6" w:rsidP="008B5944">
      <w:pPr>
        <w:tabs>
          <w:tab w:val="left" w:pos="0"/>
          <w:tab w:val="left" w:pos="709"/>
        </w:tabs>
        <w:spacing w:after="120" w:line="245" w:lineRule="auto"/>
        <w:ind w:firstLine="720"/>
        <w:jc w:val="both"/>
        <w:rPr>
          <w:bCs/>
          <w:snapToGrid w:val="0"/>
        </w:rPr>
      </w:pPr>
      <w:r w:rsidRPr="000A74BB">
        <w:rPr>
          <w:iCs/>
          <w:snapToGrid w:val="0"/>
        </w:rPr>
        <w:t>Công tác bảo đảm an sinh xã hội luôn được các cấp, ngành thực hiện kịp thời, thiết thực</w:t>
      </w:r>
      <w:r w:rsidRPr="000A74BB">
        <w:rPr>
          <w:bCs/>
          <w:snapToGrid w:val="0"/>
        </w:rPr>
        <w:t xml:space="preserve">. Tính từ đầu năm đến hết ngày </w:t>
      </w:r>
      <w:r w:rsidRPr="000A74BB">
        <w:rPr>
          <w:bCs/>
          <w:snapToGrid w:val="0"/>
          <w:lang w:val="vi-VN"/>
        </w:rPr>
        <w:t>2</w:t>
      </w:r>
      <w:r w:rsidRPr="000A74BB">
        <w:rPr>
          <w:bCs/>
          <w:snapToGrid w:val="0"/>
        </w:rPr>
        <w:t xml:space="preserve">9/7/2025, Chính phủ đã hỗ trợ cho người dân 10,3 nghìn tấn gạo, trong đó: Hỗ trợ 6,0 nghìn tấn gạo cứu đói nhân dịp Tết Nguyên đán cho </w:t>
      </w:r>
      <w:r w:rsidRPr="000A74BB">
        <w:rPr>
          <w:bCs/>
          <w:snapToGrid w:val="0"/>
          <w:lang w:val="vi-VN"/>
        </w:rPr>
        <w:t>402,6 nghìn</w:t>
      </w:r>
      <w:r w:rsidRPr="000A74BB">
        <w:rPr>
          <w:bCs/>
          <w:snapToGrid w:val="0"/>
        </w:rPr>
        <w:t xml:space="preserve"> nhân </w:t>
      </w:r>
      <w:r w:rsidRPr="000A74BB">
        <w:rPr>
          <w:bCs/>
          <w:snapToGrid w:val="0"/>
          <w:lang w:val="vi-VN"/>
        </w:rPr>
        <w:t>khẩu; h</w:t>
      </w:r>
      <w:r w:rsidRPr="000A74BB">
        <w:rPr>
          <w:bCs/>
          <w:snapToGrid w:val="0"/>
        </w:rPr>
        <w:t>ỗ trợ 4,</w:t>
      </w:r>
      <w:r w:rsidRPr="000A74BB">
        <w:rPr>
          <w:bCs/>
          <w:snapToGrid w:val="0"/>
          <w:lang w:val="vi-VN"/>
        </w:rPr>
        <w:t xml:space="preserve">3 </w:t>
      </w:r>
      <w:r w:rsidRPr="000A74BB">
        <w:rPr>
          <w:bCs/>
          <w:snapToGrid w:val="0"/>
        </w:rPr>
        <w:t xml:space="preserve">nghìn tấn gạo cứu đói giáp hạt năm 2025 cho </w:t>
      </w:r>
      <w:r w:rsidRPr="000A74BB">
        <w:rPr>
          <w:bCs/>
          <w:snapToGrid w:val="0"/>
          <w:lang w:val="vi-VN"/>
        </w:rPr>
        <w:t>284,5 nghìn</w:t>
      </w:r>
      <w:r w:rsidRPr="000A74BB">
        <w:rPr>
          <w:bCs/>
          <w:snapToGrid w:val="0"/>
        </w:rPr>
        <w:t xml:space="preserve"> nhân khẩu.</w:t>
      </w:r>
    </w:p>
    <w:p w14:paraId="5D3F509B" w14:textId="77777777" w:rsidR="00EF01E6" w:rsidRPr="000A74BB" w:rsidRDefault="00EF01E6" w:rsidP="008B5944">
      <w:pPr>
        <w:tabs>
          <w:tab w:val="left" w:pos="567"/>
        </w:tabs>
        <w:spacing w:after="120" w:line="245" w:lineRule="auto"/>
        <w:ind w:firstLine="720"/>
        <w:jc w:val="both"/>
      </w:pPr>
      <w:r w:rsidRPr="000A74BB">
        <w:t xml:space="preserve">Theo số liệu báo cáo từ Bộ Dân tộc và Tôn giáo, tính đến ngày 27/7/2025, trên phạm vi cả nước đã hỗ trợ xóa nhà tạm, nhà dột nát </w:t>
      </w:r>
      <w:r w:rsidRPr="000A74BB">
        <w:rPr>
          <w:bCs/>
        </w:rPr>
        <w:t>268.470</w:t>
      </w:r>
      <w:r w:rsidRPr="000A74BB">
        <w:t xml:space="preserve"> căn (khánh thành </w:t>
      </w:r>
      <w:r w:rsidRPr="000A74BB">
        <w:rPr>
          <w:bCs/>
        </w:rPr>
        <w:t>234.975</w:t>
      </w:r>
      <w:r w:rsidRPr="000A74BB">
        <w:t xml:space="preserve"> căn và khởi công, xây dựng dở dang </w:t>
      </w:r>
      <w:r w:rsidRPr="000A74BB">
        <w:rPr>
          <w:bCs/>
        </w:rPr>
        <w:t>33.495</w:t>
      </w:r>
      <w:r w:rsidRPr="000A74BB">
        <w:t xml:space="preserve"> căn)</w:t>
      </w:r>
      <w:r w:rsidRPr="000A74BB">
        <w:rPr>
          <w:vertAlign w:val="superscript"/>
        </w:rPr>
        <w:footnoteReference w:id="29"/>
      </w:r>
      <w:r w:rsidRPr="000A74BB">
        <w:t>, bao gồm: Hỗ trợ nhà ở đối với người có công với cách mạng 41.800 căn; hỗ trợ nhà ở thuộc hai Chương trình mục tiêu quốc gia là 88.644 căn; hỗ trợ nhà ở thuộc Chương trình xóa nhà tạm, nhà dột nát là 129.065 căn; hỗ trợ nhà ở cho các đối tượng khác là 8.961 căn.</w:t>
      </w:r>
    </w:p>
    <w:p w14:paraId="61042E30" w14:textId="77777777" w:rsidR="00EF01E6" w:rsidRPr="000A74BB" w:rsidRDefault="00EF01E6" w:rsidP="008B5944">
      <w:pPr>
        <w:tabs>
          <w:tab w:val="left" w:pos="0"/>
          <w:tab w:val="left" w:pos="720"/>
        </w:tabs>
        <w:spacing w:after="120" w:line="245" w:lineRule="auto"/>
        <w:ind w:firstLine="720"/>
        <w:jc w:val="both"/>
        <w:rPr>
          <w:b/>
          <w:bCs/>
          <w:i/>
          <w:iCs/>
        </w:rPr>
      </w:pPr>
      <w:r w:rsidRPr="000A74BB">
        <w:rPr>
          <w:b/>
          <w:bCs/>
          <w:i/>
          <w:iCs/>
        </w:rPr>
        <w:t>b) Tình hình dịch bệnh, ngộ độc thực phẩm</w:t>
      </w:r>
    </w:p>
    <w:p w14:paraId="786CC625" w14:textId="06076EE4" w:rsidR="00EF01E6" w:rsidRPr="000A74BB" w:rsidRDefault="00EF01E6" w:rsidP="008B5944">
      <w:pPr>
        <w:spacing w:after="120" w:line="245" w:lineRule="auto"/>
        <w:ind w:firstLine="720"/>
        <w:jc w:val="both"/>
        <w:rPr>
          <w:lang w:val="de-DE"/>
        </w:rPr>
      </w:pPr>
      <w:r w:rsidRPr="000A74BB">
        <w:rPr>
          <w:lang w:val="de-DE"/>
        </w:rPr>
        <w:t xml:space="preserve">Theo báo cáo của Bộ Y tế, trong tháng (từ ngày 18/6 - 17/7/2025), cả nước có gần 10,9 nghìn trường hợp sốt xuất huyết; gần 5,8 </w:t>
      </w:r>
      <w:r w:rsidR="00863116">
        <w:rPr>
          <w:lang w:val="de-DE"/>
        </w:rPr>
        <w:t xml:space="preserve">nghìn </w:t>
      </w:r>
      <w:r w:rsidRPr="000A74BB">
        <w:rPr>
          <w:lang w:val="de-DE"/>
        </w:rPr>
        <w:t>trường hợp mắc bệnh tay chân miệng; 21</w:t>
      </w:r>
      <w:r w:rsidRPr="000A74BB">
        <w:rPr>
          <w:lang w:val="es-ES"/>
        </w:rPr>
        <w:t xml:space="preserve"> </w:t>
      </w:r>
      <w:r w:rsidRPr="000A74BB">
        <w:rPr>
          <w:lang w:val="de-DE"/>
        </w:rPr>
        <w:t>trường hợp sốt phát ban nghi sởi; 19 trường hợp viêm não vi rút; 06 trường hợp tử vong do bệnh dại; 06 trường hợp viêm màng não do não mô cầu. Tính chung bảy tháng năm 2025, cả nước có 110,1 nghìn trường hợp sốt phát ban nghi sởi (11 người tử vong); 43,5 nghìn trường hợp mắc bệnh sốt xuất huyết (05 người tử vong); gần 33,9 nghìn trường hợp mắc bệnh tay chân miệng; 185 trường hợp viêm não vi rút (01 người tử vong); 47 trường hợp tử vong do bệnh dại; 33 trường hợp viêm màng não do não mô cầu.</w:t>
      </w:r>
    </w:p>
    <w:p w14:paraId="7FFA6A0E" w14:textId="77777777" w:rsidR="00EF01E6" w:rsidRPr="000A74BB" w:rsidRDefault="00EF01E6" w:rsidP="008B5944">
      <w:pPr>
        <w:spacing w:after="120" w:line="245" w:lineRule="auto"/>
        <w:ind w:firstLine="720"/>
        <w:jc w:val="both"/>
        <w:rPr>
          <w:spacing w:val="-6"/>
          <w:lang w:val="de-DE"/>
        </w:rPr>
      </w:pPr>
      <w:r w:rsidRPr="000A74BB">
        <w:rPr>
          <w:spacing w:val="-6"/>
          <w:lang w:val="de-DE"/>
        </w:rPr>
        <w:t xml:space="preserve">Tổng số người nhiễm HIV của cả nước hiện còn sống tính đến ngày 17/7/2025 là </w:t>
      </w:r>
      <w:r w:rsidRPr="000A74BB">
        <w:rPr>
          <w:bCs/>
          <w:spacing w:val="-6"/>
          <w:lang w:val="pl-PL"/>
        </w:rPr>
        <w:t xml:space="preserve">250,5 </w:t>
      </w:r>
      <w:r w:rsidRPr="000A74BB">
        <w:rPr>
          <w:spacing w:val="-6"/>
          <w:lang w:val="de-DE"/>
        </w:rPr>
        <w:t xml:space="preserve">nghìn người; số người tử vong do HIV/AIDS là </w:t>
      </w:r>
      <w:r w:rsidRPr="000A74BB">
        <w:rPr>
          <w:bCs/>
          <w:spacing w:val="-6"/>
          <w:lang w:val="pl-PL"/>
        </w:rPr>
        <w:t>116,7</w:t>
      </w:r>
      <w:r w:rsidRPr="000A74BB">
        <w:rPr>
          <w:spacing w:val="-6"/>
          <w:lang w:val="de-DE"/>
        </w:rPr>
        <w:t xml:space="preserve"> nghìn người.</w:t>
      </w:r>
    </w:p>
    <w:p w14:paraId="44C39B97" w14:textId="1E986516" w:rsidR="00EF01E6" w:rsidRPr="000A74BB" w:rsidRDefault="00EF01E6" w:rsidP="008B5944">
      <w:pPr>
        <w:spacing w:after="120" w:line="245" w:lineRule="auto"/>
        <w:ind w:firstLine="720"/>
        <w:jc w:val="both"/>
        <w:rPr>
          <w:lang w:val="de-DE"/>
        </w:rPr>
      </w:pPr>
      <w:r w:rsidRPr="000A74BB">
        <w:rPr>
          <w:lang w:val="de-DE"/>
        </w:rPr>
        <w:t xml:space="preserve">Về ngộ độc thực phẩm, trong tháng </w:t>
      </w:r>
      <w:r w:rsidR="00BD5E18">
        <w:rPr>
          <w:lang w:val="de-DE"/>
        </w:rPr>
        <w:t>Bảy</w:t>
      </w:r>
      <w:r w:rsidRPr="000A74BB">
        <w:rPr>
          <w:lang w:val="de-DE"/>
        </w:rPr>
        <w:t xml:space="preserve"> xảy ra 06 vụ ngộ độc thực phẩm làm 78 người bị ngộ độc (03 người tử vong). Tính chung bảy tháng năm 2025 (từ 18/12/2024 - 17/7/2025), cả nước xảy ra 41 vụ với </w:t>
      </w:r>
      <w:r w:rsidRPr="000A74BB">
        <w:rPr>
          <w:bCs/>
          <w:lang w:val="pl-PL"/>
        </w:rPr>
        <w:t>484</w:t>
      </w:r>
      <w:r w:rsidRPr="000A74BB">
        <w:rPr>
          <w:lang w:val="de-DE"/>
        </w:rPr>
        <w:t xml:space="preserve"> người bị ngộ độc (13 người tử vong).</w:t>
      </w:r>
    </w:p>
    <w:p w14:paraId="1F34B71D" w14:textId="77777777" w:rsidR="00EF01E6" w:rsidRPr="00306C05" w:rsidRDefault="00EF01E6" w:rsidP="008B5944">
      <w:pPr>
        <w:spacing w:after="120" w:line="245" w:lineRule="auto"/>
        <w:ind w:firstLine="720"/>
        <w:jc w:val="both"/>
        <w:outlineLvl w:val="0"/>
        <w:rPr>
          <w:b/>
          <w:i/>
          <w:iCs/>
          <w:lang w:val="de-DE"/>
        </w:rPr>
      </w:pPr>
      <w:r w:rsidRPr="000A74BB">
        <w:rPr>
          <w:b/>
          <w:bCs/>
          <w:i/>
          <w:iCs/>
          <w:lang w:val="pl-PL"/>
        </w:rPr>
        <w:t xml:space="preserve">c) </w:t>
      </w:r>
      <w:r w:rsidRPr="000A74BB">
        <w:rPr>
          <w:b/>
          <w:i/>
          <w:iCs/>
          <w:lang w:val="de-DE"/>
        </w:rPr>
        <w:t>Hoạt động văn hóa, thể thao</w:t>
      </w:r>
    </w:p>
    <w:p w14:paraId="4461A369" w14:textId="77777777" w:rsidR="00EF01E6" w:rsidRPr="00306C05" w:rsidRDefault="00EF01E6" w:rsidP="008B5944">
      <w:pPr>
        <w:spacing w:after="120" w:line="245" w:lineRule="auto"/>
        <w:ind w:firstLine="720"/>
        <w:jc w:val="both"/>
        <w:rPr>
          <w:lang w:val="de-DE"/>
        </w:rPr>
      </w:pPr>
      <w:r w:rsidRPr="00306C05">
        <w:rPr>
          <w:i/>
          <w:lang w:val="de-DE"/>
        </w:rPr>
        <w:t>Về văn hóa</w:t>
      </w:r>
      <w:r w:rsidRPr="00306C05">
        <w:rPr>
          <w:lang w:val="de-DE"/>
        </w:rPr>
        <w:t xml:space="preserve">, trong tháng Bảy, trên cả nước diễn ra chuỗi hoạt động kỷ niệm 78 năm Ngày Thương binh - Liệt sĩ, Kỷ niệm 80 năm ngày Cách mạng Tháng Tám và Quốc khánh 2/9 như: Chương trình nghệ thuật đặc biệt “Bản hùng ca bất diệt” với chủ đề “Đất nước lời ru” đêm 26/7 tại Khu quần thể tượng đài Mẹ Việt Nam anh hùng (phường Quảng Phú, thành phố Đà Nẵng); Chương trình “Viết tiếp giấc mơ độc lập của những người ngã xuống” do Bảo tàng Lịch sử Quân sự Việt Nam tổ chức; Chương trình nghệ thuật đặc biệt mang tên “Cho muôn đời sau” - hòa nhạc các tác phẩm của Nhạc sĩ Hoàng Vân do nhà hát Hồ Gươm thực </w:t>
      </w:r>
      <w:r w:rsidRPr="00306C05">
        <w:rPr>
          <w:lang w:val="de-DE"/>
        </w:rPr>
        <w:lastRenderedPageBreak/>
        <w:t>hiện diễn ra ngày 24 và 25/7; Lễ công bố và đón nhận Bằng xếp hạng di tích quốc gia đặc biệt Tháp Bà Pô Nagar và Di sản văn hóa phi vật thể quốc gia Tri thức khai thác và chế biến Trầm hương Khánh Hòa ngày 10/7 do Ủy ban nhân dân tỉnh Khánh Hòa tổ chức.</w:t>
      </w:r>
    </w:p>
    <w:p w14:paraId="70C6BEBF" w14:textId="25EA860F" w:rsidR="00EF01E6" w:rsidRPr="00306C05" w:rsidRDefault="00EF01E6" w:rsidP="008B5944">
      <w:pPr>
        <w:spacing w:after="120" w:line="245" w:lineRule="auto"/>
        <w:ind w:firstLine="720"/>
        <w:jc w:val="both"/>
        <w:rPr>
          <w:spacing w:val="-2"/>
          <w:lang w:val="de-DE"/>
        </w:rPr>
      </w:pPr>
      <w:r w:rsidRPr="00306C05">
        <w:rPr>
          <w:i/>
          <w:spacing w:val="-2"/>
          <w:lang w:val="de-DE"/>
        </w:rPr>
        <w:t xml:space="preserve">Về </w:t>
      </w:r>
      <w:r w:rsidR="00D7570C">
        <w:rPr>
          <w:i/>
          <w:spacing w:val="-2"/>
          <w:lang w:val="de-DE"/>
        </w:rPr>
        <w:t>hoạt động</w:t>
      </w:r>
      <w:r w:rsidRPr="00306C05">
        <w:rPr>
          <w:i/>
          <w:spacing w:val="-2"/>
          <w:lang w:val="de-DE"/>
        </w:rPr>
        <w:t xml:space="preserve"> thể thao</w:t>
      </w:r>
      <w:r w:rsidR="00F95134">
        <w:rPr>
          <w:i/>
          <w:spacing w:val="-2"/>
          <w:lang w:val="de-DE"/>
        </w:rPr>
        <w:t xml:space="preserve"> </w:t>
      </w:r>
      <w:r w:rsidRPr="00306C05">
        <w:rPr>
          <w:i/>
          <w:spacing w:val="-2"/>
          <w:lang w:val="de-DE"/>
        </w:rPr>
        <w:t>quần chúng</w:t>
      </w:r>
      <w:r w:rsidR="00F95134">
        <w:rPr>
          <w:spacing w:val="-2"/>
          <w:lang w:val="de-DE"/>
        </w:rPr>
        <w:t>,</w:t>
      </w:r>
      <w:r w:rsidRPr="00306C05">
        <w:rPr>
          <w:spacing w:val="-2"/>
          <w:lang w:val="de-DE"/>
        </w:rPr>
        <w:t xml:space="preserve"> </w:t>
      </w:r>
      <w:r w:rsidR="00D7570C">
        <w:rPr>
          <w:spacing w:val="-2"/>
          <w:lang w:val="de-DE"/>
        </w:rPr>
        <w:t>đ</w:t>
      </w:r>
      <w:r w:rsidRPr="00306C05">
        <w:rPr>
          <w:spacing w:val="-2"/>
          <w:lang w:val="de-DE"/>
        </w:rPr>
        <w:t>ội cờ vua người khuyết tật Việt Nam giành huy chương vàng tại Giải vô địch cờ vua người khuyết tật thế giới IPCA 2025, diễn ra ở Goa (Ấn Độ) từ ngày 21-30/7</w:t>
      </w:r>
      <w:r w:rsidR="00F95134">
        <w:rPr>
          <w:spacing w:val="-2"/>
          <w:lang w:val="de-DE"/>
        </w:rPr>
        <w:t>. Trong tháng</w:t>
      </w:r>
      <w:r w:rsidR="00164CF6">
        <w:rPr>
          <w:spacing w:val="-2"/>
          <w:lang w:val="de-DE"/>
        </w:rPr>
        <w:t xml:space="preserve"> diễn ra</w:t>
      </w:r>
      <w:r w:rsidR="00F95134">
        <w:rPr>
          <w:spacing w:val="-2"/>
          <w:lang w:val="de-DE"/>
        </w:rPr>
        <w:t xml:space="preserve"> </w:t>
      </w:r>
      <w:r w:rsidR="00D7570C" w:rsidRPr="00306C05">
        <w:rPr>
          <w:spacing w:val="-2"/>
          <w:lang w:val="de-DE"/>
        </w:rPr>
        <w:t>một số hoạt động</w:t>
      </w:r>
      <w:r w:rsidR="00F95134">
        <w:rPr>
          <w:spacing w:val="-2"/>
          <w:lang w:val="de-DE"/>
        </w:rPr>
        <w:t xml:space="preserve"> thể thao quần chúng nổi bật</w:t>
      </w:r>
      <w:r w:rsidR="00D7570C" w:rsidRPr="00306C05">
        <w:rPr>
          <w:spacing w:val="-2"/>
          <w:lang w:val="de-DE"/>
        </w:rPr>
        <w:t xml:space="preserve"> sau: </w:t>
      </w:r>
      <w:r w:rsidRPr="00306C05">
        <w:rPr>
          <w:spacing w:val="-2"/>
          <w:lang w:val="de-DE"/>
        </w:rPr>
        <w:t>Giải vô địch bóng rổ trẻ 5x5 dưới 18 tuổi quốc gia năm 2025 được tổ chức từ ngày 20 - 27/7 tại tỉnh Đắk Lắk; Giải cờ vua vô địch trẻ xuất sắc quốc gia 2025 tranh cúp Greenbia Kidsmore 2025 diễn ra từ ngày 19 - 28/7 tại Hải Phòng.</w:t>
      </w:r>
    </w:p>
    <w:p w14:paraId="139089CB" w14:textId="79DC703C" w:rsidR="00EF01E6" w:rsidRPr="00306C05" w:rsidRDefault="00EF01E6" w:rsidP="008B5944">
      <w:pPr>
        <w:spacing w:after="120" w:line="245" w:lineRule="auto"/>
        <w:ind w:firstLine="720"/>
        <w:jc w:val="both"/>
        <w:rPr>
          <w:lang w:val="de-DE"/>
        </w:rPr>
      </w:pPr>
      <w:r w:rsidRPr="00306C05">
        <w:rPr>
          <w:i/>
          <w:lang w:val="de-DE"/>
        </w:rPr>
        <w:t>Về thể thao thành tích cao</w:t>
      </w:r>
      <w:r w:rsidR="008357AA">
        <w:rPr>
          <w:lang w:val="de-DE"/>
        </w:rPr>
        <w:t xml:space="preserve"> với</w:t>
      </w:r>
      <w:r w:rsidRPr="00306C05">
        <w:rPr>
          <w:lang w:val="de-DE"/>
        </w:rPr>
        <w:t xml:space="preserve"> </w:t>
      </w:r>
      <w:r w:rsidR="00F95134">
        <w:rPr>
          <w:lang w:val="de-DE"/>
        </w:rPr>
        <w:t xml:space="preserve">kết quả đáng ghi nhận </w:t>
      </w:r>
      <w:r w:rsidR="008357AA">
        <w:rPr>
          <w:lang w:val="de-DE"/>
        </w:rPr>
        <w:t>khi</w:t>
      </w:r>
      <w:r w:rsidRPr="00306C05">
        <w:rPr>
          <w:lang w:val="de-DE"/>
        </w:rPr>
        <w:t xml:space="preserve"> Việt Nam giành chức vô địch thế giới nội dung 4 người tại Giải vô địch cầu mây thế giới 2025 tại Thái Lan; </w:t>
      </w:r>
      <w:r w:rsidR="008357AA" w:rsidRPr="00306C05">
        <w:rPr>
          <w:lang w:val="de-DE"/>
        </w:rPr>
        <w:t xml:space="preserve">Đội tuyển bóng đá nam U23 Việt Nam giành chức vô địch tại giải U23 Đông Nam Á từ ngày 15 - 29/7 tại </w:t>
      </w:r>
      <w:r w:rsidR="00164CF6">
        <w:rPr>
          <w:lang w:val="de-DE"/>
        </w:rPr>
        <w:t>In-đô-nê-xi-a</w:t>
      </w:r>
      <w:r w:rsidR="008357AA" w:rsidRPr="00306C05">
        <w:rPr>
          <w:lang w:val="de-DE"/>
        </w:rPr>
        <w:t>.</w:t>
      </w:r>
      <w:r w:rsidR="008357AA">
        <w:rPr>
          <w:lang w:val="de-DE"/>
        </w:rPr>
        <w:t xml:space="preserve"> Một số giải thể thao thành tích cao thu hút được sự quan tâm của đông đảo khán giả trong nước như: </w:t>
      </w:r>
      <w:r w:rsidRPr="00306C05">
        <w:rPr>
          <w:lang w:val="de-DE"/>
        </w:rPr>
        <w:t>Giải Vô địch Bóng chuyền U23 quốc gia từ ngày 12 - 24/7 với sự tham gia của 350 vận động viên, huấn luyện viên... từ 17 đội bóng; Giải vô địch Bắn cung quốc gia năm 2025 từ ngày 22 - 29/7 tại Vĩnh Long; Giải Cúp các câu lạc bộ Võ thuật tổng hợp toàn quốc 2025 từ ngày 16 - 21/7 tại Bắc Ninh; Giải pickleball thiếu niên châu Á mở rộng (Asia Pickleball Junior Open) 2025 diễn ra từ ngày 13 - 15/7 tại Quảng Nam</w:t>
      </w:r>
      <w:r w:rsidR="008357AA">
        <w:rPr>
          <w:lang w:val="de-DE"/>
        </w:rPr>
        <w:t>.</w:t>
      </w:r>
      <w:r w:rsidRPr="00306C05">
        <w:rPr>
          <w:lang w:val="de-DE"/>
        </w:rPr>
        <w:t xml:space="preserve"> </w:t>
      </w:r>
    </w:p>
    <w:p w14:paraId="2B02F382" w14:textId="77777777" w:rsidR="00EF01E6" w:rsidRPr="000A74BB" w:rsidRDefault="00EF01E6" w:rsidP="008B5944">
      <w:pPr>
        <w:spacing w:after="120" w:line="245" w:lineRule="auto"/>
        <w:ind w:firstLine="720"/>
        <w:jc w:val="both"/>
        <w:outlineLvl w:val="0"/>
        <w:rPr>
          <w:b/>
          <w:i/>
          <w:lang w:val="de-DE"/>
        </w:rPr>
      </w:pPr>
      <w:r w:rsidRPr="000A74BB">
        <w:rPr>
          <w:b/>
          <w:i/>
          <w:lang w:val="de-DE"/>
        </w:rPr>
        <w:t>d) Tai nạn giao thông</w:t>
      </w:r>
      <w:r w:rsidRPr="000A74BB">
        <w:rPr>
          <w:b/>
          <w:bCs/>
          <w:iCs/>
          <w:vertAlign w:val="superscript"/>
        </w:rPr>
        <w:footnoteReference w:id="30"/>
      </w:r>
    </w:p>
    <w:p w14:paraId="2B4495FF" w14:textId="77777777" w:rsidR="00EF01E6" w:rsidRPr="000A74BB" w:rsidRDefault="00EF01E6" w:rsidP="008B5944">
      <w:pPr>
        <w:tabs>
          <w:tab w:val="left" w:pos="567"/>
        </w:tabs>
        <w:spacing w:after="120" w:line="245" w:lineRule="auto"/>
        <w:ind w:firstLine="720"/>
        <w:jc w:val="both"/>
        <w:rPr>
          <w:lang w:val="de-DE"/>
        </w:rPr>
      </w:pPr>
      <w:r w:rsidRPr="000A74BB">
        <w:rPr>
          <w:rFonts w:eastAsia="Calibri"/>
          <w:lang w:val="de-DE"/>
        </w:rPr>
        <w:t xml:space="preserve">Trong tháng Bảy (từ </w:t>
      </w:r>
      <w:r w:rsidRPr="000A74BB">
        <w:rPr>
          <w:lang w:val="de-DE"/>
        </w:rPr>
        <w:t>26/</w:t>
      </w:r>
      <w:r w:rsidRPr="00306C05">
        <w:rPr>
          <w:lang w:val="de-DE"/>
        </w:rPr>
        <w:t>6</w:t>
      </w:r>
      <w:r w:rsidRPr="000A74BB">
        <w:rPr>
          <w:lang w:val="de-DE"/>
        </w:rPr>
        <w:t xml:space="preserve"> - 25/</w:t>
      </w:r>
      <w:r w:rsidRPr="00306C05">
        <w:rPr>
          <w:lang w:val="de-DE"/>
        </w:rPr>
        <w:t>7</w:t>
      </w:r>
      <w:r w:rsidRPr="000A74BB">
        <w:rPr>
          <w:lang w:val="de-DE"/>
        </w:rPr>
        <w:t>/2025</w:t>
      </w:r>
      <w:r w:rsidRPr="000A74BB">
        <w:rPr>
          <w:rFonts w:eastAsia="Calibri"/>
          <w:lang w:val="de-DE"/>
        </w:rPr>
        <w:t xml:space="preserve">), </w:t>
      </w:r>
      <w:r w:rsidRPr="000A74BB">
        <w:rPr>
          <w:lang w:val="de-DE"/>
        </w:rPr>
        <w:t xml:space="preserve">cả nước xảy ra </w:t>
      </w:r>
      <w:r w:rsidRPr="000A74BB">
        <w:rPr>
          <w:lang w:val="vi-VN"/>
        </w:rPr>
        <w:t>1</w:t>
      </w:r>
      <w:r w:rsidRPr="00306C05">
        <w:rPr>
          <w:lang w:val="de-DE"/>
        </w:rPr>
        <w:t>.</w:t>
      </w:r>
      <w:r w:rsidRPr="000A74BB">
        <w:rPr>
          <w:lang w:val="vi-VN"/>
        </w:rPr>
        <w:t>408</w:t>
      </w:r>
      <w:r w:rsidRPr="000A74BB">
        <w:rPr>
          <w:lang w:val="de-DE"/>
        </w:rPr>
        <w:t xml:space="preserve"> vụ tai nạn giao thông, làm chết 804 người và bị thương </w:t>
      </w:r>
      <w:r w:rsidRPr="000A74BB">
        <w:rPr>
          <w:lang w:val="vi-VN"/>
        </w:rPr>
        <w:t>959</w:t>
      </w:r>
      <w:r w:rsidRPr="000A74BB">
        <w:rPr>
          <w:lang w:val="de-DE"/>
        </w:rPr>
        <w:t xml:space="preserve"> người. So với tháng </w:t>
      </w:r>
      <w:r w:rsidRPr="00306C05">
        <w:rPr>
          <w:lang w:val="de-DE"/>
        </w:rPr>
        <w:t>6</w:t>
      </w:r>
      <w:r w:rsidRPr="000A74BB">
        <w:rPr>
          <w:lang w:val="de-DE"/>
        </w:rPr>
        <w:t xml:space="preserve">/2025, số vụ tai nạn giao thông </w:t>
      </w:r>
      <w:r w:rsidRPr="000A74BB">
        <w:rPr>
          <w:lang w:val="vi-VN"/>
        </w:rPr>
        <w:t xml:space="preserve">giảm </w:t>
      </w:r>
      <w:r w:rsidRPr="00306C05">
        <w:rPr>
          <w:lang w:val="de-DE"/>
        </w:rPr>
        <w:t>0,1</w:t>
      </w:r>
      <w:r w:rsidRPr="000A74BB">
        <w:rPr>
          <w:lang w:val="de-DE"/>
        </w:rPr>
        <w:t xml:space="preserve">%; số người chết </w:t>
      </w:r>
      <w:r w:rsidRPr="000A74BB">
        <w:rPr>
          <w:lang w:val="vi-VN"/>
        </w:rPr>
        <w:t xml:space="preserve">giảm </w:t>
      </w:r>
      <w:r w:rsidRPr="00306C05">
        <w:rPr>
          <w:lang w:val="de-DE"/>
        </w:rPr>
        <w:t>1,0</w:t>
      </w:r>
      <w:r w:rsidRPr="000A74BB">
        <w:rPr>
          <w:lang w:val="de-DE"/>
        </w:rPr>
        <w:t xml:space="preserve">%; số người bị thương </w:t>
      </w:r>
      <w:r w:rsidRPr="00306C05">
        <w:rPr>
          <w:lang w:val="de-DE"/>
        </w:rPr>
        <w:t>tăng 2,3</w:t>
      </w:r>
      <w:r w:rsidRPr="000A74BB">
        <w:rPr>
          <w:lang w:val="de-DE"/>
        </w:rPr>
        <w:t xml:space="preserve">%. So với cùng kỳ năm 2024, số vụ tai nạn giao thông giảm </w:t>
      </w:r>
      <w:r w:rsidRPr="00306C05">
        <w:rPr>
          <w:lang w:val="de-DE"/>
        </w:rPr>
        <w:t>21,0</w:t>
      </w:r>
      <w:r w:rsidRPr="000A74BB">
        <w:rPr>
          <w:lang w:val="de-DE"/>
        </w:rPr>
        <w:t xml:space="preserve">%; số người chết </w:t>
      </w:r>
      <w:r w:rsidRPr="000A74BB">
        <w:rPr>
          <w:lang w:val="vi-VN"/>
        </w:rPr>
        <w:t xml:space="preserve">giảm </w:t>
      </w:r>
      <w:r w:rsidRPr="00306C05">
        <w:rPr>
          <w:lang w:val="de-DE"/>
        </w:rPr>
        <w:t>4,9</w:t>
      </w:r>
      <w:r w:rsidRPr="000A74BB">
        <w:rPr>
          <w:lang w:val="de-DE"/>
        </w:rPr>
        <w:t xml:space="preserve">%; số người bị thương giảm 27,0%. </w:t>
      </w:r>
    </w:p>
    <w:p w14:paraId="013B3454" w14:textId="77777777" w:rsidR="00EF01E6" w:rsidRPr="000A74BB" w:rsidRDefault="00EF01E6" w:rsidP="008B5944">
      <w:pPr>
        <w:tabs>
          <w:tab w:val="left" w:pos="567"/>
        </w:tabs>
        <w:spacing w:after="120" w:line="245" w:lineRule="auto"/>
        <w:ind w:firstLine="720"/>
        <w:jc w:val="both"/>
        <w:rPr>
          <w:spacing w:val="-4"/>
          <w:lang w:val="de-DE"/>
        </w:rPr>
      </w:pPr>
      <w:r w:rsidRPr="000A74BB">
        <w:rPr>
          <w:spacing w:val="-4"/>
          <w:lang w:val="de-DE"/>
        </w:rPr>
        <w:t xml:space="preserve">Tính chung bảy tháng năm 2025, trên địa bàn cả nước xảy ra </w:t>
      </w:r>
      <w:r w:rsidRPr="000A74BB">
        <w:rPr>
          <w:spacing w:val="-4"/>
          <w:lang w:val="vi-VN"/>
        </w:rPr>
        <w:t>10</w:t>
      </w:r>
      <w:r w:rsidRPr="00306C05">
        <w:rPr>
          <w:spacing w:val="-4"/>
          <w:lang w:val="de-DE"/>
        </w:rPr>
        <w:t>.</w:t>
      </w:r>
      <w:r w:rsidRPr="000A74BB">
        <w:rPr>
          <w:spacing w:val="-4"/>
          <w:lang w:val="vi-VN"/>
        </w:rPr>
        <w:t>809</w:t>
      </w:r>
      <w:r w:rsidRPr="000A74BB">
        <w:rPr>
          <w:spacing w:val="-4"/>
          <w:lang w:val="de-DE"/>
        </w:rPr>
        <w:t xml:space="preserve"> vụ tai nạn giao thông, làm chết </w:t>
      </w:r>
      <w:r w:rsidRPr="000A74BB">
        <w:rPr>
          <w:spacing w:val="-4"/>
          <w:lang w:val="vi-VN"/>
        </w:rPr>
        <w:t>6</w:t>
      </w:r>
      <w:r w:rsidRPr="00306C05">
        <w:rPr>
          <w:spacing w:val="-4"/>
          <w:lang w:val="de-DE"/>
        </w:rPr>
        <w:t>.</w:t>
      </w:r>
      <w:r w:rsidRPr="000A74BB">
        <w:rPr>
          <w:spacing w:val="-4"/>
          <w:lang w:val="vi-VN"/>
        </w:rPr>
        <w:t>101</w:t>
      </w:r>
      <w:r w:rsidRPr="000A74BB">
        <w:rPr>
          <w:spacing w:val="-4"/>
          <w:lang w:val="de-DE"/>
        </w:rPr>
        <w:t xml:space="preserve"> người và bị thương </w:t>
      </w:r>
      <w:r w:rsidRPr="000A74BB">
        <w:rPr>
          <w:spacing w:val="-4"/>
          <w:lang w:val="vi-VN"/>
        </w:rPr>
        <w:t>7</w:t>
      </w:r>
      <w:r w:rsidRPr="00306C05">
        <w:rPr>
          <w:spacing w:val="-4"/>
          <w:lang w:val="de-DE"/>
        </w:rPr>
        <w:t>.</w:t>
      </w:r>
      <w:r w:rsidRPr="000A74BB">
        <w:rPr>
          <w:spacing w:val="-4"/>
          <w:lang w:val="vi-VN"/>
        </w:rPr>
        <w:t>205</w:t>
      </w:r>
      <w:r w:rsidRPr="000A74BB">
        <w:rPr>
          <w:spacing w:val="-4"/>
          <w:lang w:val="de-DE"/>
        </w:rPr>
        <w:t xml:space="preserve"> người. So với cùng kỳ năm trước, số vụ tai nạn giao thông giảm </w:t>
      </w:r>
      <w:r w:rsidRPr="00306C05">
        <w:rPr>
          <w:spacing w:val="-4"/>
          <w:lang w:val="de-DE"/>
        </w:rPr>
        <w:t>23,8</w:t>
      </w:r>
      <w:r w:rsidRPr="000A74BB">
        <w:rPr>
          <w:spacing w:val="-4"/>
          <w:lang w:val="de-DE"/>
        </w:rPr>
        <w:t>%; số người chết giảm 3</w:t>
      </w:r>
      <w:r w:rsidRPr="000A74BB">
        <w:rPr>
          <w:spacing w:val="-4"/>
          <w:lang w:val="vi-VN"/>
        </w:rPr>
        <w:t>,8</w:t>
      </w:r>
      <w:r w:rsidRPr="000A74BB">
        <w:rPr>
          <w:spacing w:val="-4"/>
          <w:lang w:val="de-DE"/>
        </w:rPr>
        <w:t xml:space="preserve">%; số người bị thương giảm </w:t>
      </w:r>
      <w:r w:rsidRPr="00306C05">
        <w:rPr>
          <w:spacing w:val="-4"/>
          <w:lang w:val="de-DE"/>
        </w:rPr>
        <w:t>33,1</w:t>
      </w:r>
      <w:r w:rsidRPr="000A74BB">
        <w:rPr>
          <w:spacing w:val="-4"/>
          <w:lang w:val="de-DE"/>
        </w:rPr>
        <w:t xml:space="preserve">%. Bình quân một ngày trong bảy tháng năm 2025, trên địa bàn cả nước xảy ra </w:t>
      </w:r>
      <w:r w:rsidRPr="000A74BB">
        <w:rPr>
          <w:spacing w:val="-4"/>
          <w:lang w:val="vi-VN"/>
        </w:rPr>
        <w:t>5</w:t>
      </w:r>
      <w:r w:rsidRPr="00306C05">
        <w:rPr>
          <w:spacing w:val="-4"/>
          <w:lang w:val="de-DE"/>
        </w:rPr>
        <w:t>1</w:t>
      </w:r>
      <w:r w:rsidRPr="000A74BB">
        <w:rPr>
          <w:spacing w:val="-4"/>
          <w:lang w:val="de-DE"/>
        </w:rPr>
        <w:t xml:space="preserve"> vụ tai nạn giao thông, làm chết 29 người, bị thương </w:t>
      </w:r>
      <w:r w:rsidRPr="000A74BB">
        <w:rPr>
          <w:spacing w:val="-4"/>
          <w:lang w:val="vi-VN"/>
        </w:rPr>
        <w:t>34</w:t>
      </w:r>
      <w:r w:rsidRPr="000A74BB">
        <w:rPr>
          <w:spacing w:val="-4"/>
          <w:lang w:val="de-DE"/>
        </w:rPr>
        <w:t xml:space="preserve"> người. </w:t>
      </w:r>
    </w:p>
    <w:p w14:paraId="57532214" w14:textId="77777777" w:rsidR="00EF01E6" w:rsidRPr="000A74BB" w:rsidRDefault="00EF01E6" w:rsidP="008B5944">
      <w:pPr>
        <w:spacing w:after="120" w:line="245" w:lineRule="auto"/>
        <w:ind w:firstLine="720"/>
        <w:jc w:val="both"/>
        <w:rPr>
          <w:b/>
          <w:i/>
          <w:lang w:val="pl-PL"/>
        </w:rPr>
      </w:pPr>
      <w:r w:rsidRPr="000A74BB">
        <w:rPr>
          <w:b/>
          <w:i/>
          <w:lang w:val="pl-PL"/>
        </w:rPr>
        <w:t>đ) Thiệt hại do thiên tai</w:t>
      </w:r>
      <w:r w:rsidRPr="000A74BB">
        <w:rPr>
          <w:rFonts w:eastAsia="Calibri"/>
          <w:b/>
          <w:bCs/>
          <w:i/>
          <w:vertAlign w:val="superscript"/>
          <w:lang w:val="pl-PL"/>
        </w:rPr>
        <w:footnoteReference w:id="31"/>
      </w:r>
    </w:p>
    <w:p w14:paraId="2B4F2F83" w14:textId="77777777" w:rsidR="00EF01E6" w:rsidRPr="000A74BB" w:rsidRDefault="00EF01E6" w:rsidP="008B5944">
      <w:pPr>
        <w:tabs>
          <w:tab w:val="left" w:pos="426"/>
          <w:tab w:val="left" w:pos="900"/>
        </w:tabs>
        <w:spacing w:after="120" w:line="245" w:lineRule="auto"/>
        <w:ind w:firstLine="720"/>
        <w:jc w:val="both"/>
        <w:rPr>
          <w:lang w:val="de-DE"/>
        </w:rPr>
      </w:pPr>
      <w:r w:rsidRPr="000A74BB">
        <w:rPr>
          <w:lang w:val="de-DE"/>
        </w:rPr>
        <w:t xml:space="preserve">Thiệt hại do thiên tai trong tháng Bảy chủ yếu do ảnh hưởng của </w:t>
      </w:r>
      <w:r w:rsidRPr="00306C05">
        <w:rPr>
          <w:bCs/>
          <w:iCs/>
          <w:lang w:val="de-DE"/>
        </w:rPr>
        <w:t xml:space="preserve">mưa lũ, ngập lụt </w:t>
      </w:r>
      <w:r w:rsidRPr="000A74BB">
        <w:rPr>
          <w:lang w:val="de-DE"/>
        </w:rPr>
        <w:t xml:space="preserve">làm </w:t>
      </w:r>
      <w:r w:rsidRPr="00306C05">
        <w:rPr>
          <w:lang w:val="de-DE"/>
        </w:rPr>
        <w:t>70</w:t>
      </w:r>
      <w:r w:rsidRPr="000A74BB">
        <w:rPr>
          <w:rFonts w:eastAsia="Calibri"/>
          <w:lang w:val="de-DE"/>
        </w:rPr>
        <w:t xml:space="preserve"> người chết và mất tích; </w:t>
      </w:r>
      <w:r w:rsidRPr="00306C05">
        <w:rPr>
          <w:rFonts w:eastAsia="Calibri"/>
          <w:lang w:val="de-DE"/>
        </w:rPr>
        <w:t>49</w:t>
      </w:r>
      <w:r w:rsidRPr="000A74BB">
        <w:rPr>
          <w:lang w:val="de-DE"/>
        </w:rPr>
        <w:t xml:space="preserve"> người bị thương; </w:t>
      </w:r>
      <w:r w:rsidRPr="00306C05">
        <w:rPr>
          <w:lang w:val="de-DE"/>
        </w:rPr>
        <w:t>gần 56,7</w:t>
      </w:r>
      <w:r w:rsidRPr="000A74BB">
        <w:rPr>
          <w:lang w:val="de-DE"/>
        </w:rPr>
        <w:t xml:space="preserve"> nghìn ha lúa và hoa màu bị ngập, hư hỏng; </w:t>
      </w:r>
      <w:r w:rsidRPr="00306C05">
        <w:rPr>
          <w:lang w:val="de-DE"/>
        </w:rPr>
        <w:t>79,0</w:t>
      </w:r>
      <w:r w:rsidRPr="000A74BB">
        <w:rPr>
          <w:lang w:val="vi-VN"/>
        </w:rPr>
        <w:t xml:space="preserve"> nghìn con gia súc và gia cầm bị chết; gần </w:t>
      </w:r>
      <w:r w:rsidRPr="00306C05">
        <w:rPr>
          <w:lang w:val="de-DE"/>
        </w:rPr>
        <w:t>10</w:t>
      </w:r>
      <w:r w:rsidRPr="000A74BB">
        <w:rPr>
          <w:lang w:val="vi-VN"/>
        </w:rPr>
        <w:t>,5 nghìn</w:t>
      </w:r>
      <w:r w:rsidRPr="000A74BB">
        <w:rPr>
          <w:lang w:val="de-DE"/>
        </w:rPr>
        <w:t xml:space="preserve"> ngôi nhà bị sập đổ, cuốn trôi và hư hại; tổng giá trị thiệt hại về tài sản </w:t>
      </w:r>
      <w:r w:rsidRPr="000A74BB">
        <w:rPr>
          <w:lang w:val="de-DE"/>
        </w:rPr>
        <w:lastRenderedPageBreak/>
        <w:t xml:space="preserve">do thiên tai gây ra trong tháng là </w:t>
      </w:r>
      <w:r w:rsidRPr="00306C05">
        <w:rPr>
          <w:lang w:val="de-DE"/>
        </w:rPr>
        <w:t>3.610,2</w:t>
      </w:r>
      <w:r w:rsidRPr="000A74BB">
        <w:rPr>
          <w:lang w:val="de-DE"/>
        </w:rPr>
        <w:t xml:space="preserve"> tỷ đồng, gấp 7,5 lần cùng kỳ năm trước</w:t>
      </w:r>
      <w:r w:rsidRPr="000A74BB">
        <w:rPr>
          <w:snapToGrid w:val="0"/>
          <w:lang w:val="de-DE"/>
        </w:rPr>
        <w:t>.</w:t>
      </w:r>
      <w:r w:rsidRPr="000A74BB">
        <w:rPr>
          <w:lang w:val="de-DE"/>
        </w:rPr>
        <w:t xml:space="preserve"> </w:t>
      </w:r>
      <w:r w:rsidRPr="000A74BB">
        <w:rPr>
          <w:rFonts w:eastAsia="Calibri"/>
          <w:lang w:val="de-DE"/>
        </w:rPr>
        <w:t xml:space="preserve">Tính chung bảy tháng năm nay, thiên tai làm </w:t>
      </w:r>
      <w:r w:rsidRPr="00306C05">
        <w:rPr>
          <w:rFonts w:eastAsia="Calibri"/>
          <w:lang w:val="de-DE"/>
        </w:rPr>
        <w:t>144</w:t>
      </w:r>
      <w:r w:rsidRPr="000A74BB">
        <w:rPr>
          <w:rFonts w:eastAsia="Calibri"/>
          <w:lang w:val="de-DE"/>
        </w:rPr>
        <w:t xml:space="preserve"> người chết và mất tích, </w:t>
      </w:r>
      <w:r w:rsidRPr="00306C05">
        <w:rPr>
          <w:rFonts w:eastAsia="Calibri"/>
          <w:lang w:val="de-DE"/>
        </w:rPr>
        <w:t>100</w:t>
      </w:r>
      <w:r w:rsidRPr="000A74BB">
        <w:rPr>
          <w:rFonts w:eastAsia="Calibri"/>
          <w:lang w:val="de-DE"/>
        </w:rPr>
        <w:t xml:space="preserve"> </w:t>
      </w:r>
      <w:r w:rsidRPr="000A74BB">
        <w:rPr>
          <w:lang w:val="de-DE"/>
        </w:rPr>
        <w:t>người bị thương;</w:t>
      </w:r>
      <w:r w:rsidRPr="000A74BB">
        <w:rPr>
          <w:rFonts w:eastAsia="Calibri"/>
          <w:lang w:val="de-DE"/>
        </w:rPr>
        <w:t xml:space="preserve"> </w:t>
      </w:r>
      <w:r w:rsidRPr="00306C05">
        <w:rPr>
          <w:rFonts w:eastAsia="Calibri"/>
          <w:lang w:val="de-DE"/>
        </w:rPr>
        <w:t>109,4</w:t>
      </w:r>
      <w:r w:rsidRPr="000A74BB">
        <w:rPr>
          <w:rFonts w:eastAsia="Calibri"/>
          <w:lang w:val="de-DE"/>
        </w:rPr>
        <w:t xml:space="preserve"> nghìn ha lúa và 16,1 nghìn ha hoa màu bị hư hỏng; </w:t>
      </w:r>
      <w:r w:rsidRPr="00306C05">
        <w:rPr>
          <w:rFonts w:eastAsia="Calibri"/>
          <w:lang w:val="de-DE"/>
        </w:rPr>
        <w:t>gần 16,0</w:t>
      </w:r>
      <w:r w:rsidRPr="000A74BB">
        <w:rPr>
          <w:rFonts w:eastAsia="Calibri"/>
          <w:lang w:val="vi-VN"/>
        </w:rPr>
        <w:t xml:space="preserve"> nghìn</w:t>
      </w:r>
      <w:r w:rsidRPr="000A74BB">
        <w:rPr>
          <w:lang w:val="de-DE"/>
        </w:rPr>
        <w:t xml:space="preserve"> ngôi nhà bị sập đổ, cuốn trôi và hư hại;</w:t>
      </w:r>
      <w:r w:rsidRPr="000A74BB">
        <w:rPr>
          <w:rFonts w:eastAsia="Calibri"/>
          <w:lang w:val="de-DE"/>
        </w:rPr>
        <w:t xml:space="preserve"> tổng giá trị thiệt hại về tài sản ước tính </w:t>
      </w:r>
      <w:r w:rsidRPr="00306C05">
        <w:rPr>
          <w:rFonts w:eastAsia="Calibri"/>
          <w:lang w:val="de-DE"/>
        </w:rPr>
        <w:t>5.614,0</w:t>
      </w:r>
      <w:r w:rsidRPr="000A74BB">
        <w:rPr>
          <w:rFonts w:eastAsia="Calibri"/>
          <w:lang w:val="de-DE"/>
        </w:rPr>
        <w:t xml:space="preserve"> tỷ đồng, </w:t>
      </w:r>
      <w:r w:rsidRPr="00306C05">
        <w:rPr>
          <w:rFonts w:eastAsia="Calibri"/>
          <w:lang w:val="de-DE"/>
        </w:rPr>
        <w:t>gấp 2,5 lần</w:t>
      </w:r>
      <w:r w:rsidRPr="000A74BB">
        <w:rPr>
          <w:rFonts w:eastAsia="Calibri"/>
          <w:lang w:val="de-DE"/>
        </w:rPr>
        <w:t xml:space="preserve"> cùng kỳ năm 2024.</w:t>
      </w:r>
    </w:p>
    <w:p w14:paraId="17DE7628" w14:textId="77777777" w:rsidR="00EF01E6" w:rsidRPr="000A74BB" w:rsidRDefault="00EF01E6" w:rsidP="008B5944">
      <w:pPr>
        <w:tabs>
          <w:tab w:val="left" w:pos="426"/>
          <w:tab w:val="left" w:pos="900"/>
        </w:tabs>
        <w:spacing w:after="120" w:line="245" w:lineRule="auto"/>
        <w:ind w:firstLine="720"/>
        <w:jc w:val="both"/>
        <w:rPr>
          <w:rFonts w:eastAsia="Calibri"/>
          <w:b/>
          <w:i/>
          <w:lang w:val="de-DE"/>
        </w:rPr>
      </w:pPr>
      <w:r w:rsidRPr="000A74BB">
        <w:rPr>
          <w:rFonts w:eastAsia="Calibri"/>
          <w:b/>
          <w:i/>
          <w:lang w:val="de-DE"/>
        </w:rPr>
        <w:t>e)</w:t>
      </w:r>
      <w:r w:rsidRPr="000A74BB">
        <w:rPr>
          <w:b/>
          <w:i/>
          <w:lang w:val="pl-PL"/>
        </w:rPr>
        <w:t xml:space="preserve"> Bảo vệ môi trường và phòng chống cháy, nổ</w:t>
      </w:r>
    </w:p>
    <w:p w14:paraId="4C678D89" w14:textId="18CA9D98" w:rsidR="00EF01E6" w:rsidRPr="000A74BB" w:rsidRDefault="00EF01E6" w:rsidP="008B5944">
      <w:pPr>
        <w:tabs>
          <w:tab w:val="left" w:pos="426"/>
          <w:tab w:val="left" w:pos="900"/>
        </w:tabs>
        <w:spacing w:after="120" w:line="245" w:lineRule="auto"/>
        <w:ind w:firstLine="720"/>
        <w:jc w:val="both"/>
        <w:rPr>
          <w:rFonts w:eastAsia="Calibri"/>
          <w:lang w:val="de-DE"/>
        </w:rPr>
      </w:pPr>
      <w:r w:rsidRPr="000A74BB">
        <w:rPr>
          <w:rFonts w:eastAsia="Calibri"/>
          <w:lang w:val="de-DE"/>
        </w:rPr>
        <w:t>Trong tháng Bảy (từ 18/</w:t>
      </w:r>
      <w:r w:rsidRPr="00306C05">
        <w:rPr>
          <w:rFonts w:eastAsia="Calibri"/>
          <w:lang w:val="de-DE"/>
        </w:rPr>
        <w:t>6</w:t>
      </w:r>
      <w:r w:rsidRPr="000A74BB">
        <w:rPr>
          <w:rFonts w:eastAsia="Calibri"/>
          <w:lang w:val="de-DE"/>
        </w:rPr>
        <w:t xml:space="preserve"> - 17/</w:t>
      </w:r>
      <w:r w:rsidRPr="00306C05">
        <w:rPr>
          <w:rFonts w:eastAsia="Calibri"/>
          <w:lang w:val="de-DE"/>
        </w:rPr>
        <w:t>7</w:t>
      </w:r>
      <w:r w:rsidRPr="000A74BB">
        <w:rPr>
          <w:rFonts w:eastAsia="Calibri"/>
          <w:lang w:val="de-DE"/>
        </w:rPr>
        <w:t>/2025)</w:t>
      </w:r>
      <w:r w:rsidRPr="000A74BB">
        <w:rPr>
          <w:rFonts w:eastAsia="Calibri"/>
          <w:vertAlign w:val="superscript"/>
          <w:lang w:val="de-DE"/>
        </w:rPr>
        <w:footnoteReference w:id="32"/>
      </w:r>
      <w:r w:rsidRPr="000A74BB">
        <w:rPr>
          <w:rFonts w:eastAsia="Calibri"/>
          <w:lang w:val="de-DE"/>
        </w:rPr>
        <w:t xml:space="preserve">, các cơ quan chức năng phát hiện </w:t>
      </w:r>
      <w:r w:rsidRPr="00306C05">
        <w:rPr>
          <w:rFonts w:eastAsia="Calibri"/>
          <w:lang w:val="de-DE"/>
        </w:rPr>
        <w:t>291</w:t>
      </w:r>
      <w:r w:rsidR="00641365">
        <w:rPr>
          <w:rFonts w:eastAsia="Calibri"/>
          <w:lang w:val="de-DE"/>
        </w:rPr>
        <w:t xml:space="preserve"> </w:t>
      </w:r>
      <w:r w:rsidRPr="000A74BB">
        <w:rPr>
          <w:rFonts w:eastAsia="Calibri"/>
          <w:lang w:val="de-DE"/>
        </w:rPr>
        <w:t xml:space="preserve">vụ vi phạm môi trường tại </w:t>
      </w:r>
      <w:r w:rsidRPr="00306C05">
        <w:rPr>
          <w:noProof/>
          <w:lang w:val="de-DE"/>
        </w:rPr>
        <w:t>28</w:t>
      </w:r>
      <w:r w:rsidRPr="000A74BB">
        <w:rPr>
          <w:noProof/>
          <w:lang w:val="de-DE"/>
        </w:rPr>
        <w:t>/34 địa phương</w:t>
      </w:r>
      <w:r w:rsidRPr="000A74BB">
        <w:rPr>
          <w:noProof/>
          <w:vertAlign w:val="superscript"/>
        </w:rPr>
        <w:footnoteReference w:id="33"/>
      </w:r>
      <w:r w:rsidRPr="000A74BB">
        <w:rPr>
          <w:noProof/>
          <w:lang w:val="de-DE"/>
        </w:rPr>
        <w:t xml:space="preserve">, </w:t>
      </w:r>
      <w:r w:rsidRPr="000A74BB">
        <w:rPr>
          <w:rFonts w:eastAsia="Calibri"/>
          <w:lang w:val="de-DE"/>
        </w:rPr>
        <w:t xml:space="preserve">trong đó xử lý </w:t>
      </w:r>
      <w:r w:rsidRPr="00306C05">
        <w:rPr>
          <w:rFonts w:eastAsia="Calibri"/>
          <w:lang w:val="de-DE"/>
        </w:rPr>
        <w:t>252</w:t>
      </w:r>
      <w:r w:rsidRPr="000A74BB">
        <w:rPr>
          <w:rFonts w:eastAsia="Calibri"/>
          <w:lang w:val="de-DE"/>
        </w:rPr>
        <w:t xml:space="preserve"> vụ với tổng số tiền phạt </w:t>
      </w:r>
      <w:r w:rsidRPr="00306C05">
        <w:rPr>
          <w:rFonts w:eastAsia="Calibri"/>
          <w:lang w:val="de-DE"/>
        </w:rPr>
        <w:t>12,1</w:t>
      </w:r>
      <w:r w:rsidRPr="000A74BB">
        <w:rPr>
          <w:rFonts w:eastAsia="Calibri"/>
          <w:lang w:val="de-DE"/>
        </w:rPr>
        <w:t xml:space="preserve"> tỷ đồng, </w:t>
      </w:r>
      <w:r w:rsidRPr="00306C05">
        <w:rPr>
          <w:rFonts w:eastAsia="Calibri"/>
          <w:lang w:val="de-DE"/>
        </w:rPr>
        <w:t>giảm 25,7</w:t>
      </w:r>
      <w:r w:rsidRPr="000A74BB">
        <w:rPr>
          <w:rFonts w:eastAsia="Calibri"/>
          <w:lang w:val="de-DE"/>
        </w:rPr>
        <w:t xml:space="preserve">% so với tháng trước và giảm </w:t>
      </w:r>
      <w:r w:rsidRPr="00306C05">
        <w:rPr>
          <w:rFonts w:eastAsia="Calibri"/>
          <w:lang w:val="de-DE"/>
        </w:rPr>
        <w:t>40,0</w:t>
      </w:r>
      <w:r w:rsidRPr="000A74BB">
        <w:rPr>
          <w:rFonts w:eastAsia="Calibri"/>
          <w:lang w:val="de-DE"/>
        </w:rPr>
        <w:t xml:space="preserve">% so với cùng kỳ năm trước. Tính chung bảy tháng năm nay, các cơ quan chức năng phát hiện </w:t>
      </w:r>
      <w:r w:rsidRPr="000A74BB">
        <w:rPr>
          <w:rFonts w:eastAsia="Calibri"/>
          <w:lang w:val="vi-VN"/>
        </w:rPr>
        <w:t>8</w:t>
      </w:r>
      <w:r w:rsidRPr="00306C05">
        <w:rPr>
          <w:rFonts w:eastAsia="Calibri"/>
          <w:lang w:val="de-DE"/>
        </w:rPr>
        <w:t>.</w:t>
      </w:r>
      <w:r w:rsidRPr="000A74BB">
        <w:rPr>
          <w:rFonts w:eastAsia="Calibri"/>
          <w:lang w:val="vi-VN"/>
        </w:rPr>
        <w:t>564</w:t>
      </w:r>
      <w:r w:rsidRPr="000A74BB">
        <w:rPr>
          <w:rFonts w:eastAsia="Calibri"/>
          <w:lang w:val="de-DE"/>
        </w:rPr>
        <w:t xml:space="preserve"> vụ vi phạm môi trường, trong đó xử lý </w:t>
      </w:r>
      <w:r w:rsidRPr="000A74BB">
        <w:rPr>
          <w:rFonts w:eastAsia="Calibri"/>
          <w:lang w:val="vi-VN"/>
        </w:rPr>
        <w:t>7</w:t>
      </w:r>
      <w:r w:rsidRPr="00306C05">
        <w:rPr>
          <w:rFonts w:eastAsia="Calibri"/>
          <w:lang w:val="de-DE"/>
        </w:rPr>
        <w:t>.</w:t>
      </w:r>
      <w:r w:rsidRPr="000A74BB">
        <w:rPr>
          <w:rFonts w:eastAsia="Calibri"/>
          <w:lang w:val="vi-VN"/>
        </w:rPr>
        <w:t>668</w:t>
      </w:r>
      <w:r w:rsidRPr="000A74BB">
        <w:rPr>
          <w:rFonts w:eastAsia="Calibri"/>
          <w:lang w:val="de-DE"/>
        </w:rPr>
        <w:t xml:space="preserve"> vụ với tổng số tiền phạt </w:t>
      </w:r>
      <w:r w:rsidRPr="00306C05">
        <w:rPr>
          <w:rFonts w:eastAsia="Calibri"/>
          <w:lang w:val="de-DE"/>
        </w:rPr>
        <w:t>127,6</w:t>
      </w:r>
      <w:r w:rsidRPr="000A74BB">
        <w:rPr>
          <w:rFonts w:eastAsia="Calibri"/>
          <w:lang w:val="vi-VN"/>
        </w:rPr>
        <w:t xml:space="preserve"> </w:t>
      </w:r>
      <w:r w:rsidRPr="000A74BB">
        <w:rPr>
          <w:rFonts w:eastAsia="Calibri"/>
          <w:lang w:val="de-DE"/>
        </w:rPr>
        <w:t xml:space="preserve">tỷ đồng, giảm </w:t>
      </w:r>
      <w:r w:rsidRPr="00306C05">
        <w:rPr>
          <w:rFonts w:eastAsia="Calibri"/>
          <w:lang w:val="de-DE"/>
        </w:rPr>
        <w:t>27,9</w:t>
      </w:r>
      <w:r w:rsidRPr="000A74BB">
        <w:rPr>
          <w:rFonts w:eastAsia="Calibri"/>
          <w:lang w:val="de-DE"/>
        </w:rPr>
        <w:t>% so với cùng kỳ năm trước.</w:t>
      </w:r>
    </w:p>
    <w:p w14:paraId="69518216" w14:textId="3CDD312B" w:rsidR="00E11C99" w:rsidRPr="000A74BB" w:rsidRDefault="00EF01E6" w:rsidP="008B5944">
      <w:pPr>
        <w:spacing w:after="120" w:line="245" w:lineRule="auto"/>
        <w:ind w:firstLine="720"/>
        <w:jc w:val="both"/>
        <w:rPr>
          <w:rFonts w:eastAsia="Calibri"/>
          <w:b/>
          <w:i/>
          <w:lang w:val="de-DE"/>
        </w:rPr>
      </w:pPr>
      <w:r w:rsidRPr="000A74BB">
        <w:rPr>
          <w:rFonts w:eastAsia="Calibri"/>
          <w:lang w:val="de-DE"/>
        </w:rPr>
        <w:t>Trong tháng (từ 15/</w:t>
      </w:r>
      <w:r w:rsidRPr="00306C05">
        <w:rPr>
          <w:rFonts w:eastAsia="Calibri"/>
          <w:lang w:val="de-DE"/>
        </w:rPr>
        <w:t>6</w:t>
      </w:r>
      <w:r w:rsidRPr="000A74BB">
        <w:rPr>
          <w:rFonts w:eastAsia="Calibri"/>
          <w:lang w:val="vi-VN"/>
        </w:rPr>
        <w:t xml:space="preserve"> </w:t>
      </w:r>
      <w:r w:rsidRPr="000A74BB">
        <w:rPr>
          <w:rFonts w:eastAsia="Calibri"/>
          <w:lang w:val="de-DE"/>
        </w:rPr>
        <w:t>-</w:t>
      </w:r>
      <w:r w:rsidRPr="000A74BB">
        <w:rPr>
          <w:rFonts w:eastAsia="Calibri"/>
          <w:lang w:val="vi-VN"/>
        </w:rPr>
        <w:t xml:space="preserve"> </w:t>
      </w:r>
      <w:r w:rsidRPr="000A74BB">
        <w:rPr>
          <w:rFonts w:eastAsia="Calibri"/>
          <w:lang w:val="de-DE"/>
        </w:rPr>
        <w:t>14/</w:t>
      </w:r>
      <w:r w:rsidRPr="00306C05">
        <w:rPr>
          <w:rFonts w:eastAsia="Calibri"/>
          <w:lang w:val="de-DE"/>
        </w:rPr>
        <w:t>7</w:t>
      </w:r>
      <w:r w:rsidRPr="000A74BB">
        <w:rPr>
          <w:rFonts w:eastAsia="Calibri"/>
          <w:lang w:val="de-DE"/>
        </w:rPr>
        <w:t>/2025)</w:t>
      </w:r>
      <w:r w:rsidRPr="000A74BB">
        <w:rPr>
          <w:rFonts w:eastAsia="Calibri"/>
          <w:vertAlign w:val="superscript"/>
          <w:lang w:val="de-DE"/>
        </w:rPr>
        <w:footnoteReference w:id="34"/>
      </w:r>
      <w:r w:rsidRPr="000A74BB">
        <w:rPr>
          <w:rFonts w:eastAsia="Calibri"/>
          <w:lang w:val="de-DE"/>
        </w:rPr>
        <w:t xml:space="preserve">, cả nước xảy ra 216 vụ cháy, nổ, làm </w:t>
      </w:r>
      <w:r w:rsidRPr="00306C05">
        <w:rPr>
          <w:rFonts w:eastAsia="Calibri"/>
          <w:lang w:val="de-DE"/>
        </w:rPr>
        <w:t>23</w:t>
      </w:r>
      <w:r w:rsidRPr="000A74BB">
        <w:rPr>
          <w:rFonts w:eastAsia="Calibri"/>
          <w:lang w:val="de-DE"/>
        </w:rPr>
        <w:t xml:space="preserve"> người chết và 4 người bị thương, thiệt hại ước tính </w:t>
      </w:r>
      <w:r w:rsidRPr="00306C05">
        <w:rPr>
          <w:rFonts w:eastAsia="Calibri"/>
          <w:lang w:val="de-DE"/>
        </w:rPr>
        <w:t>18,5</w:t>
      </w:r>
      <w:r w:rsidRPr="000A74BB">
        <w:rPr>
          <w:rFonts w:eastAsia="Calibri"/>
          <w:lang w:val="vi-VN"/>
        </w:rPr>
        <w:t xml:space="preserve"> </w:t>
      </w:r>
      <w:r w:rsidRPr="000A74BB">
        <w:rPr>
          <w:rFonts w:eastAsia="Calibri"/>
          <w:lang w:val="de-DE"/>
        </w:rPr>
        <w:t xml:space="preserve">tỷ đồng, </w:t>
      </w:r>
      <w:r w:rsidRPr="000A74BB">
        <w:rPr>
          <w:rFonts w:eastAsia="Calibri"/>
          <w:lang w:val="vi-VN"/>
        </w:rPr>
        <w:t xml:space="preserve">giảm </w:t>
      </w:r>
      <w:r w:rsidRPr="00306C05">
        <w:rPr>
          <w:rFonts w:eastAsia="Calibri"/>
          <w:lang w:val="de-DE"/>
        </w:rPr>
        <w:t>18</w:t>
      </w:r>
      <w:r w:rsidRPr="000A74BB">
        <w:rPr>
          <w:rFonts w:eastAsia="Calibri"/>
          <w:lang w:val="vi-VN"/>
        </w:rPr>
        <w:t>,8% so với</w:t>
      </w:r>
      <w:r w:rsidRPr="000A74BB">
        <w:rPr>
          <w:rFonts w:eastAsia="Calibri"/>
          <w:lang w:val="de-DE"/>
        </w:rPr>
        <w:t xml:space="preserve"> tháng trước và </w:t>
      </w:r>
      <w:r w:rsidRPr="00306C05">
        <w:rPr>
          <w:rFonts w:eastAsia="Calibri"/>
          <w:lang w:val="de-DE"/>
        </w:rPr>
        <w:t>tăng 67,2</w:t>
      </w:r>
      <w:r w:rsidRPr="000A74BB">
        <w:rPr>
          <w:rFonts w:eastAsia="Calibri"/>
          <w:lang w:val="vi-VN"/>
        </w:rPr>
        <w:t>%</w:t>
      </w:r>
      <w:r w:rsidRPr="000A74BB">
        <w:rPr>
          <w:rFonts w:eastAsia="Calibri"/>
          <w:lang w:val="de-DE"/>
        </w:rPr>
        <w:t xml:space="preserve"> </w:t>
      </w:r>
      <w:r w:rsidRPr="000A74BB">
        <w:rPr>
          <w:rFonts w:eastAsia="Calibri"/>
          <w:lang w:val="vi-VN"/>
        </w:rPr>
        <w:t>so với</w:t>
      </w:r>
      <w:r w:rsidRPr="000A74BB">
        <w:rPr>
          <w:rFonts w:eastAsia="Calibri"/>
          <w:lang w:val="de-DE"/>
        </w:rPr>
        <w:t xml:space="preserve"> cùng kỳ năm trước. Tính chung bảy tháng năm nay, trên địa bàn cả nước xảy ra </w:t>
      </w:r>
      <w:r w:rsidRPr="000A74BB">
        <w:rPr>
          <w:rFonts w:eastAsia="Calibri"/>
          <w:lang w:val="vi-VN"/>
        </w:rPr>
        <w:t>1</w:t>
      </w:r>
      <w:r w:rsidRPr="00306C05">
        <w:rPr>
          <w:rFonts w:eastAsia="Calibri"/>
          <w:lang w:val="de-DE"/>
        </w:rPr>
        <w:t>.</w:t>
      </w:r>
      <w:r w:rsidRPr="000A74BB">
        <w:rPr>
          <w:rFonts w:eastAsia="Calibri"/>
          <w:lang w:val="vi-VN"/>
        </w:rPr>
        <w:t xml:space="preserve">939 </w:t>
      </w:r>
      <w:r w:rsidRPr="000A74BB">
        <w:rPr>
          <w:rFonts w:eastAsia="Calibri"/>
          <w:lang w:val="de-DE"/>
        </w:rPr>
        <w:t xml:space="preserve">vụ cháy, nổ, làm </w:t>
      </w:r>
      <w:r w:rsidRPr="00306C05">
        <w:rPr>
          <w:rFonts w:eastAsia="Calibri"/>
          <w:lang w:val="de-DE"/>
        </w:rPr>
        <w:t>70</w:t>
      </w:r>
      <w:r w:rsidRPr="000A74BB">
        <w:rPr>
          <w:rFonts w:eastAsia="Calibri"/>
          <w:lang w:val="de-DE"/>
        </w:rPr>
        <w:t xml:space="preserve"> người chết và </w:t>
      </w:r>
      <w:r w:rsidRPr="00306C05">
        <w:rPr>
          <w:rFonts w:eastAsia="Calibri"/>
          <w:lang w:val="de-DE"/>
        </w:rPr>
        <w:t>79</w:t>
      </w:r>
      <w:r w:rsidRPr="000A74BB">
        <w:rPr>
          <w:rFonts w:eastAsia="Calibri"/>
          <w:lang w:val="de-DE"/>
        </w:rPr>
        <w:t xml:space="preserve"> người bị thương, thiệt hại ước tính </w:t>
      </w:r>
      <w:r w:rsidRPr="00306C05">
        <w:rPr>
          <w:rFonts w:eastAsia="Calibri"/>
          <w:lang w:val="de-DE"/>
        </w:rPr>
        <w:t>179,5</w:t>
      </w:r>
      <w:r w:rsidRPr="000A74BB">
        <w:rPr>
          <w:rFonts w:eastAsia="Calibri"/>
          <w:lang w:val="de-DE"/>
        </w:rPr>
        <w:t xml:space="preserve"> tỷ đồng, </w:t>
      </w:r>
      <w:r w:rsidRPr="000A74BB">
        <w:rPr>
          <w:rFonts w:eastAsia="Calibri"/>
          <w:lang w:val="vi-VN"/>
        </w:rPr>
        <w:t xml:space="preserve">tăng </w:t>
      </w:r>
      <w:r w:rsidRPr="00306C05">
        <w:rPr>
          <w:rFonts w:eastAsia="Calibri"/>
          <w:lang w:val="de-DE"/>
        </w:rPr>
        <w:t>13,7</w:t>
      </w:r>
      <w:r w:rsidRPr="000A74BB">
        <w:rPr>
          <w:rFonts w:eastAsia="Calibri"/>
          <w:lang w:val="vi-VN"/>
        </w:rPr>
        <w:t>% so với</w:t>
      </w:r>
      <w:r w:rsidRPr="000A74BB">
        <w:rPr>
          <w:rFonts w:eastAsia="Calibri"/>
          <w:lang w:val="de-DE"/>
        </w:rPr>
        <w:t xml:space="preserve">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3416E5" w:rsidRPr="000A74BB" w14:paraId="6F0660F3" w14:textId="77777777" w:rsidTr="00267E54">
        <w:tc>
          <w:tcPr>
            <w:tcW w:w="4533" w:type="dxa"/>
          </w:tcPr>
          <w:p w14:paraId="261355F6" w14:textId="77777777" w:rsidR="00AE05A0" w:rsidRPr="000A74BB" w:rsidRDefault="00AE05A0" w:rsidP="00AE05A0">
            <w:pPr>
              <w:ind w:left="-57"/>
              <w:rPr>
                <w:rFonts w:eastAsia="Calibri"/>
                <w:b/>
                <w:i/>
                <w:sz w:val="24"/>
                <w:szCs w:val="22"/>
                <w:lang w:val="de-DE"/>
              </w:rPr>
            </w:pPr>
            <w:r w:rsidRPr="000A74BB">
              <w:rPr>
                <w:rFonts w:eastAsia="Calibri"/>
                <w:b/>
                <w:i/>
                <w:sz w:val="24"/>
                <w:szCs w:val="22"/>
                <w:lang w:val="de-DE"/>
              </w:rPr>
              <w:t>Nơi nhận:</w:t>
            </w:r>
          </w:p>
          <w:p w14:paraId="4ED586E6"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Tổng Bí thư;</w:t>
            </w:r>
          </w:p>
          <w:p w14:paraId="70A4F8CC"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Chủ tịch nước;</w:t>
            </w:r>
          </w:p>
          <w:p w14:paraId="03E9A2BF"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Chủ tịch Quốc hội;</w:t>
            </w:r>
          </w:p>
          <w:p w14:paraId="35153DF2"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Thủ tướng Chính phủ;</w:t>
            </w:r>
          </w:p>
          <w:p w14:paraId="0AF64E79"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Phó Thủ tướng Chính phủ;</w:t>
            </w:r>
          </w:p>
          <w:p w14:paraId="262D3E77"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Lãnh đạo Bộ Tài chính;</w:t>
            </w:r>
          </w:p>
          <w:p w14:paraId="30C23226"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cơ quan thuộc Trung ương Đảng;</w:t>
            </w:r>
          </w:p>
          <w:p w14:paraId="250AAA42"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Văn phòng Chủ tịch nước;</w:t>
            </w:r>
          </w:p>
          <w:p w14:paraId="25326046"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cơ quan thuộc Quốc hội;</w:t>
            </w:r>
          </w:p>
          <w:p w14:paraId="18A41D0C"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Bộ, cơ quan ngang Bộ,</w:t>
            </w:r>
          </w:p>
          <w:p w14:paraId="6AFB1100"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xml:space="preserve">   cơ quan thuộc Chính phủ;</w:t>
            </w:r>
          </w:p>
          <w:p w14:paraId="3CC81D51"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Toà án Nhân dân tối cao;</w:t>
            </w:r>
          </w:p>
          <w:p w14:paraId="6419910D"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Viện Kiểm sát Nhân dân tối cao;</w:t>
            </w:r>
          </w:p>
          <w:p w14:paraId="43DE9DC1"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đoàn thể Trung ương;</w:t>
            </w:r>
          </w:p>
          <w:p w14:paraId="4E56BC85"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tỉnh, thành phố trực thuộc TW;</w:t>
            </w:r>
          </w:p>
          <w:p w14:paraId="708B1820"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Liên đoàn Thương mại và Công nghiệp VN;</w:t>
            </w:r>
          </w:p>
          <w:p w14:paraId="23296D5A"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đơn vị thuộc Bộ Tài chính;</w:t>
            </w:r>
          </w:p>
          <w:p w14:paraId="0754D490"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Cơ quan Thông tấn, báo chí;</w:t>
            </w:r>
          </w:p>
          <w:p w14:paraId="5C6B5AFF"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đơn vị thuộc CTK;</w:t>
            </w:r>
          </w:p>
          <w:p w14:paraId="1D8EDBCE" w14:textId="77777777" w:rsidR="00AE05A0" w:rsidRPr="000A74BB" w:rsidRDefault="00AE05A0" w:rsidP="00AE05A0">
            <w:pPr>
              <w:ind w:left="-57"/>
              <w:rPr>
                <w:rFonts w:eastAsia="Calibri"/>
                <w:b/>
                <w:i/>
                <w:sz w:val="24"/>
                <w:szCs w:val="22"/>
                <w:lang w:val="en-GB"/>
              </w:rPr>
            </w:pPr>
            <w:r w:rsidRPr="000A74BB">
              <w:rPr>
                <w:rFonts w:eastAsia="Calibri"/>
                <w:sz w:val="22"/>
                <w:szCs w:val="22"/>
                <w:lang w:val="en-GB"/>
              </w:rPr>
              <w:t>- Lưu: VT, THĐN.</w:t>
            </w:r>
          </w:p>
        </w:tc>
        <w:tc>
          <w:tcPr>
            <w:tcW w:w="4646" w:type="dxa"/>
          </w:tcPr>
          <w:p w14:paraId="0C932849" w14:textId="77777777" w:rsidR="00AE05A0" w:rsidRPr="000A74BB" w:rsidRDefault="00AE05A0" w:rsidP="00AE05A0">
            <w:pPr>
              <w:shd w:val="clear" w:color="auto" w:fill="FFFFFF"/>
              <w:tabs>
                <w:tab w:val="left" w:pos="6540"/>
              </w:tabs>
              <w:ind w:firstLine="894"/>
              <w:jc w:val="center"/>
              <w:rPr>
                <w:rFonts w:eastAsia="Calibri"/>
                <w:b/>
                <w:bCs/>
                <w:lang w:val="en-GB"/>
              </w:rPr>
            </w:pPr>
            <w:r w:rsidRPr="000A74BB">
              <w:rPr>
                <w:rFonts w:eastAsia="Calibri"/>
                <w:b/>
                <w:bCs/>
                <w:lang w:val="en-GB"/>
              </w:rPr>
              <w:t>CỤC TRƯỞNG</w:t>
            </w:r>
          </w:p>
          <w:p w14:paraId="047D1FB6" w14:textId="77777777" w:rsidR="00AE05A0" w:rsidRPr="000A74BB" w:rsidRDefault="00AE05A0" w:rsidP="00AE05A0">
            <w:pPr>
              <w:ind w:firstLine="894"/>
              <w:jc w:val="center"/>
              <w:rPr>
                <w:rFonts w:eastAsia="Calibri"/>
                <w:b/>
                <w:bCs/>
                <w:lang w:val="en-GB"/>
              </w:rPr>
            </w:pPr>
          </w:p>
          <w:p w14:paraId="4F363C84" w14:textId="77777777" w:rsidR="00AE05A0" w:rsidRPr="000A74BB" w:rsidRDefault="00AE05A0" w:rsidP="00AE05A0">
            <w:pPr>
              <w:ind w:firstLine="894"/>
              <w:jc w:val="center"/>
              <w:rPr>
                <w:rFonts w:eastAsia="Calibri"/>
                <w:b/>
                <w:bCs/>
                <w:lang w:val="en-GB"/>
              </w:rPr>
            </w:pPr>
          </w:p>
          <w:p w14:paraId="6EBC8504" w14:textId="77777777" w:rsidR="00AE05A0" w:rsidRPr="000A74BB" w:rsidRDefault="00AE05A0" w:rsidP="00AE05A0">
            <w:pPr>
              <w:ind w:firstLine="894"/>
              <w:jc w:val="center"/>
              <w:rPr>
                <w:rFonts w:eastAsia="Calibri"/>
                <w:b/>
                <w:bCs/>
                <w:lang w:val="en-GB"/>
              </w:rPr>
            </w:pPr>
          </w:p>
          <w:p w14:paraId="5147EE54" w14:textId="77777777" w:rsidR="00AE05A0" w:rsidRPr="000A74BB" w:rsidRDefault="00AE05A0" w:rsidP="00AE05A0">
            <w:pPr>
              <w:ind w:firstLine="894"/>
              <w:jc w:val="center"/>
              <w:rPr>
                <w:rFonts w:eastAsia="Calibri"/>
                <w:b/>
                <w:bCs/>
                <w:lang w:val="en-GB"/>
              </w:rPr>
            </w:pPr>
          </w:p>
          <w:p w14:paraId="4F8EDA5E" w14:textId="77777777" w:rsidR="00AE05A0" w:rsidRPr="000A74BB" w:rsidRDefault="00AE05A0" w:rsidP="00AE05A0">
            <w:pPr>
              <w:ind w:firstLine="894"/>
              <w:jc w:val="center"/>
              <w:rPr>
                <w:rFonts w:eastAsia="Calibri"/>
                <w:b/>
                <w:bCs/>
                <w:lang w:val="en-GB"/>
              </w:rPr>
            </w:pPr>
          </w:p>
          <w:p w14:paraId="365C176C" w14:textId="77777777" w:rsidR="00AE05A0" w:rsidRPr="000A74BB" w:rsidRDefault="00AE05A0" w:rsidP="00AE05A0">
            <w:pPr>
              <w:ind w:firstLine="894"/>
              <w:jc w:val="center"/>
              <w:rPr>
                <w:rFonts w:eastAsia="Calibri"/>
                <w:b/>
                <w:bCs/>
                <w:lang w:val="en-GB"/>
              </w:rPr>
            </w:pPr>
          </w:p>
          <w:p w14:paraId="05FB6AD2" w14:textId="77777777" w:rsidR="00AE05A0" w:rsidRPr="000A74BB" w:rsidRDefault="00AE05A0" w:rsidP="00AE05A0">
            <w:pPr>
              <w:ind w:firstLine="894"/>
              <w:jc w:val="center"/>
              <w:rPr>
                <w:rFonts w:eastAsia="Calibri"/>
                <w:b/>
                <w:bCs/>
                <w:lang w:val="en-GB"/>
              </w:rPr>
            </w:pPr>
          </w:p>
          <w:p w14:paraId="193DB2F0" w14:textId="77777777" w:rsidR="00AE05A0" w:rsidRPr="000A74BB" w:rsidRDefault="00AE05A0" w:rsidP="00AE05A0">
            <w:pPr>
              <w:ind w:firstLine="894"/>
              <w:jc w:val="center"/>
              <w:rPr>
                <w:rFonts w:eastAsia="Calibri"/>
                <w:b/>
                <w:i/>
                <w:sz w:val="24"/>
                <w:szCs w:val="22"/>
                <w:lang w:val="en-GB"/>
              </w:rPr>
            </w:pPr>
            <w:r w:rsidRPr="000A74BB">
              <w:rPr>
                <w:rFonts w:eastAsia="Calibri"/>
                <w:b/>
                <w:bCs/>
                <w:lang w:val="en-GB"/>
              </w:rPr>
              <w:t>Nguyễn Thị Hương</w:t>
            </w:r>
          </w:p>
        </w:tc>
      </w:tr>
    </w:tbl>
    <w:p w14:paraId="3EC86DC2" w14:textId="77777777" w:rsidR="00163059" w:rsidRPr="000A74BB" w:rsidRDefault="00163059"/>
    <w:sectPr w:rsidR="00163059" w:rsidRPr="000A74BB" w:rsidSect="009E6614">
      <w:headerReference w:type="default" r:id="rId26"/>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C4F85" w14:textId="77777777" w:rsidR="000121CD" w:rsidRDefault="000121CD" w:rsidP="00053768">
      <w:r>
        <w:separator/>
      </w:r>
    </w:p>
  </w:endnote>
  <w:endnote w:type="continuationSeparator" w:id="0">
    <w:p w14:paraId="229A3ACF" w14:textId="77777777" w:rsidR="000121CD" w:rsidRDefault="000121CD"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81617" w14:textId="77777777" w:rsidR="000121CD" w:rsidRDefault="000121CD" w:rsidP="00053768">
      <w:r>
        <w:separator/>
      </w:r>
    </w:p>
  </w:footnote>
  <w:footnote w:type="continuationSeparator" w:id="0">
    <w:p w14:paraId="3D9C8C48" w14:textId="77777777" w:rsidR="000121CD" w:rsidRDefault="000121CD" w:rsidP="00053768">
      <w:r>
        <w:continuationSeparator/>
      </w:r>
    </w:p>
  </w:footnote>
  <w:footnote w:id="1">
    <w:p w14:paraId="407AA151" w14:textId="7743B1CF" w:rsidR="008B5944" w:rsidRPr="004037B7" w:rsidRDefault="008B5944" w:rsidP="001A28E9">
      <w:pPr>
        <w:pStyle w:val="FootnoteText"/>
        <w:spacing w:after="40"/>
        <w:ind w:left="142" w:hanging="142"/>
        <w:rPr>
          <w:lang w:val="en-US"/>
        </w:rPr>
      </w:pPr>
      <w:r>
        <w:rPr>
          <w:rStyle w:val="FootnoteReference"/>
        </w:rPr>
        <w:footnoteRef/>
      </w:r>
      <w:r>
        <w:t xml:space="preserve"> </w:t>
      </w:r>
      <w:r>
        <w:rPr>
          <w:lang w:val="en-US"/>
        </w:rPr>
        <w:t>0</w:t>
      </w:r>
      <w:r w:rsidRPr="00B01E25">
        <w:t>3 địa phương không có ổ dịch chưa qua 21 ngày là Hà Tĩnh, Cần Thơ</w:t>
      </w:r>
      <w:r>
        <w:rPr>
          <w:lang w:val="en-US"/>
        </w:rPr>
        <w:t xml:space="preserve">, </w:t>
      </w:r>
      <w:r w:rsidRPr="00B01E25">
        <w:t>Cà Mau.</w:t>
      </w:r>
    </w:p>
  </w:footnote>
  <w:footnote w:id="2">
    <w:p w14:paraId="0C9445C6" w14:textId="77777777" w:rsidR="008B5944" w:rsidRPr="00113E73" w:rsidRDefault="008B5944" w:rsidP="001A28E9">
      <w:pPr>
        <w:pStyle w:val="FootnoteText"/>
        <w:spacing w:after="40"/>
        <w:ind w:left="142" w:hanging="142"/>
        <w:jc w:val="both"/>
        <w:rPr>
          <w:lang w:val="en-US"/>
        </w:rPr>
      </w:pPr>
      <w:r>
        <w:rPr>
          <w:rStyle w:val="FootnoteReference"/>
        </w:rPr>
        <w:footnoteRef/>
      </w:r>
      <w:r>
        <w:t xml:space="preserve"> </w:t>
      </w:r>
      <w:r w:rsidRPr="00B32EAF">
        <w:t xml:space="preserve">Một số địa phương có sản lượng gỗ khai thác tăng cao như: </w:t>
      </w:r>
      <w:r w:rsidRPr="0082489E">
        <w:rPr>
          <w:lang w:val="en-US"/>
        </w:rPr>
        <w:t>Thái Nguyên tăng 46,2%; Hà Tĩnh tăng 22,7%; Quảng Ngãi tăng 17,5%; Đà Nẵng tăng 12,1%; Bắc Ninh tăng 11,6%; Thanh Hóa tăng 7,6%.</w:t>
      </w:r>
    </w:p>
  </w:footnote>
  <w:footnote w:id="3">
    <w:p w14:paraId="2F4580AB" w14:textId="77777777" w:rsidR="008B5944" w:rsidRPr="007369DF" w:rsidRDefault="008B5944" w:rsidP="001A28E9">
      <w:pPr>
        <w:pStyle w:val="FootnoteText"/>
        <w:spacing w:after="40"/>
        <w:ind w:left="142" w:hanging="142"/>
      </w:pPr>
      <w:r w:rsidRPr="007369DF">
        <w:rPr>
          <w:rStyle w:val="FootnoteReference"/>
        </w:rPr>
        <w:footnoteRef/>
      </w:r>
      <w:r w:rsidRPr="007369DF">
        <w:t xml:space="preserve"> Số liệu Bộ Nông nghiệp và </w:t>
      </w:r>
      <w:r>
        <w:rPr>
          <w:lang w:val="en-GB"/>
        </w:rPr>
        <w:t>Môi trường</w:t>
      </w:r>
      <w:r w:rsidRPr="007369DF">
        <w:t xml:space="preserve"> tính đế</w:t>
      </w:r>
      <w:r>
        <w:t xml:space="preserve">n </w:t>
      </w:r>
      <w:r>
        <w:rPr>
          <w:lang w:val="en-US"/>
        </w:rPr>
        <w:t xml:space="preserve">ngày </w:t>
      </w:r>
      <w:r>
        <w:t>15/7/2025</w:t>
      </w:r>
      <w:r w:rsidRPr="007369DF">
        <w:t>.</w:t>
      </w:r>
    </w:p>
  </w:footnote>
  <w:footnote w:id="4">
    <w:p w14:paraId="1865DB64" w14:textId="77777777" w:rsidR="008B5944" w:rsidRPr="0093386E" w:rsidRDefault="008B5944" w:rsidP="001A28E9">
      <w:pPr>
        <w:pStyle w:val="FootnoteText"/>
        <w:spacing w:after="40"/>
        <w:ind w:left="142" w:hanging="142"/>
        <w:jc w:val="both"/>
        <w:rPr>
          <w:lang w:val="en-GB"/>
        </w:rPr>
      </w:pPr>
      <w:r w:rsidRPr="0093386E">
        <w:rPr>
          <w:rStyle w:val="FootnoteReference"/>
        </w:rPr>
        <w:footnoteRef/>
      </w:r>
      <w:r w:rsidRPr="0093386E">
        <w:t xml:space="preserve"> </w:t>
      </w:r>
      <w:r w:rsidRPr="00344BC9">
        <w:rPr>
          <w:spacing w:val="-8"/>
          <w:lang w:val="vi-VN"/>
        </w:rPr>
        <w:t xml:space="preserve">Nguồn: </w:t>
      </w:r>
      <w:r w:rsidRPr="00344BC9">
        <w:rPr>
          <w:spacing w:val="-8"/>
        </w:rPr>
        <w:t>http://agromonitor.vn/category/47/tom</w:t>
      </w:r>
      <w:r w:rsidRPr="00344BC9">
        <w:rPr>
          <w:spacing w:val="-8"/>
          <w:lang w:val="en-GB"/>
        </w:rPr>
        <w:t xml:space="preserve">: </w:t>
      </w:r>
      <w:r w:rsidRPr="00344BC9">
        <w:rPr>
          <w:spacing w:val="-8"/>
          <w:lang w:val="vi-VN"/>
        </w:rPr>
        <w:t xml:space="preserve">Giá tôm thẻ chân trắng ở </w:t>
      </w:r>
      <w:r w:rsidRPr="00344BC9">
        <w:rPr>
          <w:spacing w:val="-8"/>
          <w:lang w:val="en-US"/>
        </w:rPr>
        <w:t>Đồng bằng sông Cửu Long</w:t>
      </w:r>
      <w:r w:rsidRPr="00344BC9">
        <w:rPr>
          <w:spacing w:val="-8"/>
          <w:lang w:val="vi-VN"/>
        </w:rPr>
        <w:t xml:space="preserve"> loại 60-80</w:t>
      </w:r>
      <w:r w:rsidRPr="00344BC9">
        <w:rPr>
          <w:spacing w:val="-8"/>
          <w:lang w:val="en-GB"/>
        </w:rPr>
        <w:t xml:space="preserve"> con/kg</w:t>
      </w:r>
      <w:r w:rsidRPr="0093386E">
        <w:rPr>
          <w:lang w:val="vi-VN"/>
        </w:rPr>
        <w:t xml:space="preserve"> </w:t>
      </w:r>
      <w:r>
        <w:rPr>
          <w:lang w:val="en-GB"/>
        </w:rPr>
        <w:t xml:space="preserve">tăng </w:t>
      </w:r>
      <w:r w:rsidRPr="00F9033D">
        <w:rPr>
          <w:lang w:val="vi-VN"/>
        </w:rPr>
        <w:t>từ 1.000</w:t>
      </w:r>
      <w:r w:rsidRPr="00F9033D">
        <w:rPr>
          <w:lang w:val="en-GB"/>
        </w:rPr>
        <w:t xml:space="preserve"> </w:t>
      </w:r>
      <w:r w:rsidRPr="00F9033D">
        <w:rPr>
          <w:lang w:val="vi-VN"/>
        </w:rPr>
        <w:t>-</w:t>
      </w:r>
      <w:r w:rsidRPr="00F9033D">
        <w:rPr>
          <w:lang w:val="en-GB"/>
        </w:rPr>
        <w:t xml:space="preserve"> </w:t>
      </w:r>
      <w:r>
        <w:rPr>
          <w:lang w:val="vi-VN"/>
        </w:rPr>
        <w:t>4</w:t>
      </w:r>
      <w:r w:rsidRPr="00F9033D">
        <w:rPr>
          <w:lang w:val="vi-VN"/>
        </w:rPr>
        <w:t>.000 đồng/kg</w:t>
      </w:r>
      <w:r w:rsidRPr="00F9033D">
        <w:rPr>
          <w:lang w:val="en-GB"/>
        </w:rPr>
        <w:t>.</w:t>
      </w:r>
      <w:r w:rsidRPr="0093386E">
        <w:rPr>
          <w:lang w:val="en-GB"/>
        </w:rPr>
        <w:t xml:space="preserve"> </w:t>
      </w:r>
    </w:p>
  </w:footnote>
  <w:footnote w:id="5">
    <w:p w14:paraId="27B6E496" w14:textId="77777777" w:rsidR="008B5944" w:rsidRDefault="008B5944" w:rsidP="001A28E9">
      <w:pPr>
        <w:pStyle w:val="FootnoteText"/>
        <w:spacing w:after="40"/>
        <w:ind w:left="142" w:hanging="142"/>
        <w:jc w:val="both"/>
        <w:rPr>
          <w:lang w:val="vi-VN"/>
        </w:rPr>
      </w:pPr>
      <w:r>
        <w:rPr>
          <w:rStyle w:val="FootnoteReference"/>
        </w:rPr>
        <w:footnoteRef/>
      </w:r>
      <w:r>
        <w:t xml:space="preserve"> </w:t>
      </w:r>
      <w:r>
        <w:rPr>
          <w:lang w:val="vi-VN"/>
        </w:rPr>
        <w:t xml:space="preserve">Chỉ số IIP tháng </w:t>
      </w:r>
      <w:r>
        <w:rPr>
          <w:lang w:val="en-US"/>
        </w:rPr>
        <w:t>7</w:t>
      </w:r>
      <w:r>
        <w:rPr>
          <w:lang w:val="vi-VN"/>
        </w:rPr>
        <w:t xml:space="preserve">/2024 so với cùng kỳ năm trước </w:t>
      </w:r>
      <w:r>
        <w:rPr>
          <w:lang w:val="en-US"/>
        </w:rPr>
        <w:t>tăng 11</w:t>
      </w:r>
      <w:r>
        <w:rPr>
          <w:lang w:val="vi-VN"/>
        </w:rPr>
        <w:t xml:space="preserve">,1%. </w:t>
      </w:r>
    </w:p>
  </w:footnote>
  <w:footnote w:id="6">
    <w:p w14:paraId="2E6C28C8" w14:textId="7E361EF6" w:rsidR="008B5944" w:rsidRPr="008B5944" w:rsidRDefault="008B5944" w:rsidP="001A28E9">
      <w:pPr>
        <w:pStyle w:val="FootnoteText"/>
        <w:spacing w:after="40"/>
        <w:ind w:left="142" w:hanging="142"/>
        <w:jc w:val="both"/>
        <w:rPr>
          <w:lang w:val="vi-VN"/>
        </w:rPr>
      </w:pPr>
      <w:r>
        <w:rPr>
          <w:rStyle w:val="FootnoteReference"/>
        </w:rPr>
        <w:footnoteRef/>
      </w:r>
      <w:r>
        <w:t xml:space="preserve"> </w:t>
      </w:r>
      <w:r>
        <w:rPr>
          <w:spacing w:val="2"/>
        </w:rPr>
        <w:t>Tốc độ tăng</w:t>
      </w:r>
      <w:r>
        <w:rPr>
          <w:spacing w:val="2"/>
          <w:lang w:val="vi-VN"/>
        </w:rPr>
        <w:t>/giảm</w:t>
      </w:r>
      <w:r>
        <w:rPr>
          <w:spacing w:val="2"/>
        </w:rPr>
        <w:t xml:space="preserve"> chỉ số IIP tháng </w:t>
      </w:r>
      <w:r>
        <w:rPr>
          <w:spacing w:val="2"/>
          <w:lang w:val="en-US"/>
        </w:rPr>
        <w:t xml:space="preserve">Bảy </w:t>
      </w:r>
      <w:r>
        <w:rPr>
          <w:spacing w:val="2"/>
        </w:rPr>
        <w:t xml:space="preserve">so với tháng trước của một số địa phương có quy mô công nghiệp lớn: </w:t>
      </w:r>
      <w:r>
        <w:rPr>
          <w:spacing w:val="2"/>
          <w:lang w:val="vi-VN"/>
        </w:rPr>
        <w:t>Vĩnh Long tăng 4,5%; Quảng Ngãi tăng 3,7%; Đồng Nai</w:t>
      </w:r>
      <w:r>
        <w:rPr>
          <w:spacing w:val="2"/>
        </w:rPr>
        <w:t xml:space="preserve"> tăng </w:t>
      </w:r>
      <w:r>
        <w:rPr>
          <w:spacing w:val="2"/>
          <w:lang w:val="vi-VN"/>
        </w:rPr>
        <w:t>3,5</w:t>
      </w:r>
      <w:r>
        <w:rPr>
          <w:spacing w:val="2"/>
        </w:rPr>
        <w:t xml:space="preserve">%; </w:t>
      </w:r>
      <w:r>
        <w:rPr>
          <w:spacing w:val="8"/>
          <w:lang w:val="vi-VN"/>
        </w:rPr>
        <w:t>Thành phố Hồ Chí Minh</w:t>
      </w:r>
      <w:r>
        <w:rPr>
          <w:spacing w:val="2"/>
          <w:lang w:val="vi-VN"/>
        </w:rPr>
        <w:t xml:space="preserve"> tăng </w:t>
      </w:r>
      <w:r w:rsidRPr="008B5944">
        <w:rPr>
          <w:spacing w:val="2"/>
          <w:lang w:val="vi-VN"/>
        </w:rPr>
        <w:t>3</w:t>
      </w:r>
      <w:r>
        <w:rPr>
          <w:spacing w:val="2"/>
          <w:lang w:val="vi-VN"/>
        </w:rPr>
        <w:t xml:space="preserve">,4%; </w:t>
      </w:r>
      <w:r>
        <w:rPr>
          <w:spacing w:val="8"/>
          <w:lang w:val="vi-VN"/>
        </w:rPr>
        <w:t>Quảng Ninh giảm 3,9%; Đà Nẵng giảm 2,5%; Bắc Ninh giảm 1,8%; Hải Phòng giảm 0,6%.</w:t>
      </w:r>
    </w:p>
  </w:footnote>
  <w:footnote w:id="7">
    <w:p w14:paraId="066555C7" w14:textId="77777777" w:rsidR="008B5944" w:rsidRDefault="008B5944" w:rsidP="001A28E9">
      <w:pPr>
        <w:spacing w:after="40"/>
        <w:ind w:left="142" w:hanging="142"/>
        <w:jc w:val="both"/>
        <w:rPr>
          <w:sz w:val="20"/>
          <w:szCs w:val="20"/>
          <w:lang w:val="vi-VN"/>
        </w:rPr>
      </w:pPr>
      <w:r>
        <w:rPr>
          <w:rStyle w:val="FootnoteReference"/>
          <w:rFonts w:eastAsia="DengXian Light"/>
          <w:sz w:val="20"/>
          <w:szCs w:val="20"/>
        </w:rPr>
        <w:footnoteRef/>
      </w:r>
      <w:r>
        <w:rPr>
          <w:color w:val="FF0000"/>
          <w:sz w:val="20"/>
          <w:szCs w:val="20"/>
          <w:lang w:val="vi-VN"/>
        </w:rPr>
        <w:t xml:space="preserve"> </w:t>
      </w:r>
      <w:r>
        <w:rPr>
          <w:spacing w:val="3"/>
          <w:sz w:val="20"/>
          <w:szCs w:val="20"/>
          <w:shd w:val="clear" w:color="auto" w:fill="FFFFFF"/>
          <w:lang w:val="vi-VN"/>
        </w:rPr>
        <w:t xml:space="preserve">Địa phương có chỉ số sản xuất của ngành công nghiệp chế biến, chế tạo </w:t>
      </w:r>
      <w:r w:rsidRPr="008B5944">
        <w:rPr>
          <w:spacing w:val="3"/>
          <w:sz w:val="20"/>
          <w:szCs w:val="20"/>
          <w:shd w:val="clear" w:color="auto" w:fill="FFFFFF"/>
          <w:lang w:val="vi-VN"/>
        </w:rPr>
        <w:t>bảy</w:t>
      </w:r>
      <w:r>
        <w:rPr>
          <w:spacing w:val="3"/>
          <w:sz w:val="20"/>
          <w:szCs w:val="20"/>
          <w:shd w:val="clear" w:color="auto" w:fill="FFFFFF"/>
          <w:lang w:val="vi-VN"/>
        </w:rPr>
        <w:t xml:space="preserve"> tháng năm 2025 tăng cao so với cùng kỳ năm trước: </w:t>
      </w:r>
      <w:r w:rsidRPr="008B5944">
        <w:rPr>
          <w:spacing w:val="3"/>
          <w:sz w:val="20"/>
          <w:szCs w:val="20"/>
          <w:shd w:val="clear" w:color="auto" w:fill="FFFFFF"/>
          <w:lang w:val="vi-VN"/>
        </w:rPr>
        <w:t>Quảng Ninh</w:t>
      </w:r>
      <w:r>
        <w:rPr>
          <w:spacing w:val="3"/>
          <w:sz w:val="20"/>
          <w:szCs w:val="20"/>
          <w:shd w:val="clear" w:color="auto" w:fill="FFFFFF"/>
          <w:lang w:val="vi-VN"/>
        </w:rPr>
        <w:t xml:space="preserve"> tăng </w:t>
      </w:r>
      <w:r w:rsidRPr="008B5944">
        <w:rPr>
          <w:spacing w:val="3"/>
          <w:sz w:val="20"/>
          <w:szCs w:val="20"/>
          <w:shd w:val="clear" w:color="auto" w:fill="FFFFFF"/>
          <w:lang w:val="vi-VN"/>
        </w:rPr>
        <w:t>32,0</w:t>
      </w:r>
      <w:r>
        <w:rPr>
          <w:spacing w:val="3"/>
          <w:sz w:val="20"/>
          <w:szCs w:val="20"/>
          <w:shd w:val="clear" w:color="auto" w:fill="FFFFFF"/>
          <w:lang w:val="vi-VN"/>
        </w:rPr>
        <w:t xml:space="preserve">%; </w:t>
      </w:r>
      <w:r w:rsidRPr="008B5944">
        <w:rPr>
          <w:spacing w:val="3"/>
          <w:sz w:val="20"/>
          <w:szCs w:val="20"/>
          <w:shd w:val="clear" w:color="auto" w:fill="FFFFFF"/>
          <w:lang w:val="vi-VN"/>
        </w:rPr>
        <w:t>Phú Thọ</w:t>
      </w:r>
      <w:r>
        <w:rPr>
          <w:spacing w:val="3"/>
          <w:sz w:val="20"/>
          <w:szCs w:val="20"/>
          <w:shd w:val="clear" w:color="auto" w:fill="FFFFFF"/>
          <w:lang w:val="vi-VN"/>
        </w:rPr>
        <w:t xml:space="preserve"> tăng 2</w:t>
      </w:r>
      <w:r w:rsidRPr="008B5944">
        <w:rPr>
          <w:spacing w:val="3"/>
          <w:sz w:val="20"/>
          <w:szCs w:val="20"/>
          <w:shd w:val="clear" w:color="auto" w:fill="FFFFFF"/>
          <w:lang w:val="vi-VN"/>
        </w:rPr>
        <w:t>6</w:t>
      </w:r>
      <w:r>
        <w:rPr>
          <w:spacing w:val="3"/>
          <w:sz w:val="20"/>
          <w:szCs w:val="20"/>
          <w:shd w:val="clear" w:color="auto" w:fill="FFFFFF"/>
          <w:lang w:val="vi-VN"/>
        </w:rPr>
        <w:t>,</w:t>
      </w:r>
      <w:r w:rsidRPr="008B5944">
        <w:rPr>
          <w:spacing w:val="3"/>
          <w:sz w:val="20"/>
          <w:szCs w:val="20"/>
          <w:shd w:val="clear" w:color="auto" w:fill="FFFFFF"/>
          <w:lang w:val="vi-VN"/>
        </w:rPr>
        <w:t>9</w:t>
      </w:r>
      <w:r>
        <w:rPr>
          <w:spacing w:val="3"/>
          <w:sz w:val="20"/>
          <w:szCs w:val="20"/>
          <w:shd w:val="clear" w:color="auto" w:fill="FFFFFF"/>
          <w:lang w:val="vi-VN"/>
        </w:rPr>
        <w:t xml:space="preserve">%; </w:t>
      </w:r>
      <w:r w:rsidRPr="008B5944">
        <w:rPr>
          <w:spacing w:val="3"/>
          <w:sz w:val="20"/>
          <w:szCs w:val="20"/>
          <w:shd w:val="clear" w:color="auto" w:fill="FFFFFF"/>
          <w:lang w:val="vi-VN"/>
        </w:rPr>
        <w:t>Ninh Bình</w:t>
      </w:r>
      <w:r>
        <w:rPr>
          <w:spacing w:val="3"/>
          <w:sz w:val="20"/>
          <w:szCs w:val="20"/>
          <w:shd w:val="clear" w:color="auto" w:fill="FFFFFF"/>
          <w:lang w:val="vi-VN"/>
        </w:rPr>
        <w:t xml:space="preserve"> tăng </w:t>
      </w:r>
      <w:r w:rsidRPr="008B5944">
        <w:rPr>
          <w:spacing w:val="3"/>
          <w:sz w:val="20"/>
          <w:szCs w:val="20"/>
          <w:shd w:val="clear" w:color="auto" w:fill="FFFFFF"/>
          <w:lang w:val="vi-VN"/>
        </w:rPr>
        <w:t>23,4</w:t>
      </w:r>
      <w:r>
        <w:rPr>
          <w:spacing w:val="3"/>
          <w:sz w:val="20"/>
          <w:szCs w:val="20"/>
          <w:shd w:val="clear" w:color="auto" w:fill="FFFFFF"/>
          <w:lang w:val="vi-VN"/>
        </w:rPr>
        <w:t xml:space="preserve">%; </w:t>
      </w:r>
      <w:r w:rsidRPr="008B5944">
        <w:rPr>
          <w:spacing w:val="3"/>
          <w:sz w:val="20"/>
          <w:szCs w:val="20"/>
          <w:shd w:val="clear" w:color="auto" w:fill="FFFFFF"/>
          <w:lang w:val="vi-VN"/>
        </w:rPr>
        <w:t>Lai Châu</w:t>
      </w:r>
      <w:r>
        <w:rPr>
          <w:spacing w:val="3"/>
          <w:sz w:val="20"/>
          <w:szCs w:val="20"/>
          <w:shd w:val="clear" w:color="auto" w:fill="FFFFFF"/>
          <w:lang w:val="vi-VN"/>
        </w:rPr>
        <w:t xml:space="preserve"> tăng 2</w:t>
      </w:r>
      <w:r w:rsidRPr="008B5944">
        <w:rPr>
          <w:spacing w:val="3"/>
          <w:sz w:val="20"/>
          <w:szCs w:val="20"/>
          <w:shd w:val="clear" w:color="auto" w:fill="FFFFFF"/>
          <w:lang w:val="vi-VN"/>
        </w:rPr>
        <w:t>0,1</w:t>
      </w:r>
      <w:r>
        <w:rPr>
          <w:spacing w:val="3"/>
          <w:sz w:val="20"/>
          <w:szCs w:val="20"/>
          <w:shd w:val="clear" w:color="auto" w:fill="FFFFFF"/>
          <w:lang w:val="vi-VN"/>
        </w:rPr>
        <w:t>%;</w:t>
      </w:r>
      <w:r w:rsidRPr="008B5944">
        <w:rPr>
          <w:spacing w:val="3"/>
          <w:sz w:val="20"/>
          <w:szCs w:val="20"/>
          <w:shd w:val="clear" w:color="auto" w:fill="FFFFFF"/>
          <w:lang w:val="vi-VN"/>
        </w:rPr>
        <w:t xml:space="preserve"> Thanh Hóa</w:t>
      </w:r>
      <w:r>
        <w:rPr>
          <w:spacing w:val="3"/>
          <w:sz w:val="20"/>
          <w:szCs w:val="20"/>
          <w:shd w:val="clear" w:color="auto" w:fill="FFFFFF"/>
          <w:lang w:val="vi-VN"/>
        </w:rPr>
        <w:t xml:space="preserve"> tăng </w:t>
      </w:r>
      <w:r w:rsidRPr="008B5944">
        <w:rPr>
          <w:spacing w:val="3"/>
          <w:sz w:val="20"/>
          <w:szCs w:val="20"/>
          <w:shd w:val="clear" w:color="auto" w:fill="FFFFFF"/>
          <w:lang w:val="vi-VN"/>
        </w:rPr>
        <w:t>17,2</w:t>
      </w:r>
      <w:r>
        <w:rPr>
          <w:spacing w:val="3"/>
          <w:sz w:val="20"/>
          <w:szCs w:val="20"/>
          <w:shd w:val="clear" w:color="auto" w:fill="FFFFFF"/>
          <w:lang w:val="vi-VN"/>
        </w:rPr>
        <w:t xml:space="preserve">%; </w:t>
      </w:r>
      <w:r w:rsidRPr="008B5944">
        <w:rPr>
          <w:spacing w:val="3"/>
          <w:sz w:val="20"/>
          <w:szCs w:val="20"/>
          <w:shd w:val="clear" w:color="auto" w:fill="FFFFFF"/>
          <w:lang w:val="vi-VN"/>
        </w:rPr>
        <w:t>Huế</w:t>
      </w:r>
      <w:r>
        <w:rPr>
          <w:spacing w:val="3"/>
          <w:sz w:val="20"/>
          <w:szCs w:val="20"/>
          <w:shd w:val="clear" w:color="auto" w:fill="FFFFFF"/>
          <w:lang w:val="vi-VN"/>
        </w:rPr>
        <w:t xml:space="preserve"> tăng </w:t>
      </w:r>
      <w:r w:rsidRPr="008B5944">
        <w:rPr>
          <w:spacing w:val="3"/>
          <w:sz w:val="20"/>
          <w:szCs w:val="20"/>
          <w:shd w:val="clear" w:color="auto" w:fill="FFFFFF"/>
          <w:lang w:val="vi-VN"/>
        </w:rPr>
        <w:t>16,7</w:t>
      </w:r>
      <w:r>
        <w:rPr>
          <w:spacing w:val="3"/>
          <w:sz w:val="20"/>
          <w:szCs w:val="20"/>
          <w:shd w:val="clear" w:color="auto" w:fill="FFFFFF"/>
          <w:lang w:val="vi-VN"/>
        </w:rPr>
        <w:t>%. Các địa phương có chỉ số sản xuất của ngành sản xuất và phân phối điện tăng cao: H</w:t>
      </w:r>
      <w:r w:rsidRPr="008B5944">
        <w:rPr>
          <w:spacing w:val="3"/>
          <w:sz w:val="20"/>
          <w:szCs w:val="20"/>
          <w:shd w:val="clear" w:color="auto" w:fill="FFFFFF"/>
          <w:lang w:val="vi-VN"/>
        </w:rPr>
        <w:t>uế</w:t>
      </w:r>
      <w:r>
        <w:rPr>
          <w:spacing w:val="3"/>
          <w:sz w:val="20"/>
          <w:szCs w:val="20"/>
          <w:shd w:val="clear" w:color="auto" w:fill="FFFFFF"/>
          <w:lang w:val="vi-VN"/>
        </w:rPr>
        <w:t xml:space="preserve"> tăng </w:t>
      </w:r>
      <w:r w:rsidRPr="008B5944">
        <w:rPr>
          <w:spacing w:val="3"/>
          <w:sz w:val="20"/>
          <w:szCs w:val="20"/>
          <w:shd w:val="clear" w:color="auto" w:fill="FFFFFF"/>
          <w:lang w:val="vi-VN"/>
        </w:rPr>
        <w:t>43,2</w:t>
      </w:r>
      <w:r>
        <w:rPr>
          <w:spacing w:val="3"/>
          <w:sz w:val="20"/>
          <w:szCs w:val="20"/>
          <w:shd w:val="clear" w:color="auto" w:fill="FFFFFF"/>
          <w:lang w:val="vi-VN"/>
        </w:rPr>
        <w:t xml:space="preserve">%; </w:t>
      </w:r>
      <w:r w:rsidRPr="008B5944">
        <w:rPr>
          <w:spacing w:val="3"/>
          <w:sz w:val="20"/>
          <w:szCs w:val="20"/>
          <w:shd w:val="clear" w:color="auto" w:fill="FFFFFF"/>
          <w:lang w:val="vi-VN"/>
        </w:rPr>
        <w:t>Nghệ An</w:t>
      </w:r>
      <w:r>
        <w:rPr>
          <w:spacing w:val="3"/>
          <w:sz w:val="20"/>
          <w:szCs w:val="20"/>
          <w:shd w:val="clear" w:color="auto" w:fill="FFFFFF"/>
          <w:lang w:val="vi-VN"/>
        </w:rPr>
        <w:t xml:space="preserve"> tăng </w:t>
      </w:r>
      <w:r w:rsidRPr="008B5944">
        <w:rPr>
          <w:spacing w:val="3"/>
          <w:sz w:val="20"/>
          <w:szCs w:val="20"/>
          <w:shd w:val="clear" w:color="auto" w:fill="FFFFFF"/>
          <w:lang w:val="vi-VN"/>
        </w:rPr>
        <w:t>27,3</w:t>
      </w:r>
      <w:r>
        <w:rPr>
          <w:spacing w:val="3"/>
          <w:sz w:val="20"/>
          <w:szCs w:val="20"/>
          <w:shd w:val="clear" w:color="auto" w:fill="FFFFFF"/>
          <w:lang w:val="vi-VN"/>
        </w:rPr>
        <w:t xml:space="preserve">%; </w:t>
      </w:r>
      <w:r w:rsidRPr="008B5944">
        <w:rPr>
          <w:spacing w:val="3"/>
          <w:sz w:val="20"/>
          <w:szCs w:val="20"/>
          <w:shd w:val="clear" w:color="auto" w:fill="FFFFFF"/>
          <w:lang w:val="vi-VN"/>
        </w:rPr>
        <w:t>Lai Châu</w:t>
      </w:r>
      <w:r>
        <w:rPr>
          <w:spacing w:val="3"/>
          <w:sz w:val="20"/>
          <w:szCs w:val="20"/>
          <w:shd w:val="clear" w:color="auto" w:fill="FFFFFF"/>
          <w:lang w:val="vi-VN"/>
        </w:rPr>
        <w:t xml:space="preserve"> tăng </w:t>
      </w:r>
      <w:r w:rsidRPr="008B5944">
        <w:rPr>
          <w:spacing w:val="3"/>
          <w:sz w:val="20"/>
          <w:szCs w:val="20"/>
          <w:shd w:val="clear" w:color="auto" w:fill="FFFFFF"/>
          <w:lang w:val="vi-VN"/>
        </w:rPr>
        <w:t>17,0</w:t>
      </w:r>
      <w:r>
        <w:rPr>
          <w:spacing w:val="3"/>
          <w:sz w:val="20"/>
          <w:szCs w:val="20"/>
          <w:shd w:val="clear" w:color="auto" w:fill="FFFFFF"/>
          <w:lang w:val="vi-VN"/>
        </w:rPr>
        <w:t xml:space="preserve">%; Quảng Ngãi tăng </w:t>
      </w:r>
      <w:r w:rsidRPr="008B5944">
        <w:rPr>
          <w:spacing w:val="3"/>
          <w:sz w:val="20"/>
          <w:szCs w:val="20"/>
          <w:shd w:val="clear" w:color="auto" w:fill="FFFFFF"/>
          <w:lang w:val="vi-VN"/>
        </w:rPr>
        <w:t>11,9</w:t>
      </w:r>
      <w:r>
        <w:rPr>
          <w:spacing w:val="3"/>
          <w:sz w:val="20"/>
          <w:szCs w:val="20"/>
          <w:shd w:val="clear" w:color="auto" w:fill="FFFFFF"/>
          <w:lang w:val="vi-VN"/>
        </w:rPr>
        <w:t xml:space="preserve">%; </w:t>
      </w:r>
      <w:r w:rsidRPr="008B5944">
        <w:rPr>
          <w:spacing w:val="3"/>
          <w:sz w:val="20"/>
          <w:szCs w:val="20"/>
          <w:shd w:val="clear" w:color="auto" w:fill="FFFFFF"/>
          <w:lang w:val="vi-VN"/>
        </w:rPr>
        <w:t>Phú Thọ</w:t>
      </w:r>
      <w:r>
        <w:rPr>
          <w:spacing w:val="3"/>
          <w:sz w:val="20"/>
          <w:szCs w:val="20"/>
          <w:shd w:val="clear" w:color="auto" w:fill="FFFFFF"/>
          <w:lang w:val="vi-VN"/>
        </w:rPr>
        <w:t xml:space="preserve"> tăng </w:t>
      </w:r>
      <w:r w:rsidRPr="008B5944">
        <w:rPr>
          <w:spacing w:val="3"/>
          <w:sz w:val="20"/>
          <w:szCs w:val="20"/>
          <w:shd w:val="clear" w:color="auto" w:fill="FFFFFF"/>
          <w:lang w:val="vi-VN"/>
        </w:rPr>
        <w:t>7,5</w:t>
      </w:r>
      <w:r>
        <w:rPr>
          <w:spacing w:val="3"/>
          <w:sz w:val="20"/>
          <w:szCs w:val="20"/>
          <w:shd w:val="clear" w:color="auto" w:fill="FFFFFF"/>
          <w:lang w:val="vi-VN"/>
        </w:rPr>
        <w:t>%.</w:t>
      </w:r>
    </w:p>
  </w:footnote>
  <w:footnote w:id="8">
    <w:p w14:paraId="789873F4" w14:textId="4E840E4F" w:rsidR="008B5944" w:rsidRPr="008B5944" w:rsidRDefault="008B5944" w:rsidP="001A28E9">
      <w:pPr>
        <w:spacing w:after="40"/>
        <w:ind w:left="142" w:hanging="142"/>
        <w:jc w:val="both"/>
        <w:rPr>
          <w:sz w:val="20"/>
          <w:szCs w:val="20"/>
          <w:lang w:val="vi-VN"/>
        </w:rPr>
      </w:pPr>
      <w:r>
        <w:rPr>
          <w:rStyle w:val="FootnoteReference"/>
          <w:rFonts w:eastAsia="DengXian Light"/>
          <w:sz w:val="20"/>
          <w:szCs w:val="20"/>
        </w:rPr>
        <w:footnoteRef/>
      </w:r>
      <w:r>
        <w:rPr>
          <w:sz w:val="20"/>
          <w:szCs w:val="20"/>
          <w:lang w:val="vi-VN"/>
        </w:rPr>
        <w:t xml:space="preserve"> Các địa phương có chỉ số sản xuất của ngành công nghiệp chế biến, chế tạo </w:t>
      </w:r>
      <w:r w:rsidRPr="008B5944">
        <w:rPr>
          <w:sz w:val="20"/>
          <w:szCs w:val="20"/>
          <w:lang w:val="vi-VN"/>
        </w:rPr>
        <w:t>bảy</w:t>
      </w:r>
      <w:r>
        <w:rPr>
          <w:sz w:val="20"/>
          <w:szCs w:val="20"/>
          <w:lang w:val="vi-VN"/>
        </w:rPr>
        <w:t xml:space="preserve"> tháng năm 2025 tăng thấp hoặc giảm so với cùng kỳ năm trước:</w:t>
      </w:r>
      <w:r w:rsidRPr="008B5944">
        <w:rPr>
          <w:sz w:val="20"/>
          <w:szCs w:val="20"/>
          <w:lang w:val="vi-VN"/>
        </w:rPr>
        <w:t xml:space="preserve"> Lạng Sơn tăng 3,8%;</w:t>
      </w:r>
      <w:r>
        <w:rPr>
          <w:sz w:val="20"/>
          <w:szCs w:val="20"/>
          <w:lang w:val="vi-VN"/>
        </w:rPr>
        <w:t xml:space="preserve"> </w:t>
      </w:r>
      <w:r w:rsidRPr="008B5944">
        <w:rPr>
          <w:sz w:val="20"/>
          <w:szCs w:val="20"/>
          <w:lang w:val="vi-VN"/>
        </w:rPr>
        <w:t xml:space="preserve">Hà Tĩnh tăng 2,5%; </w:t>
      </w:r>
      <w:r>
        <w:rPr>
          <w:sz w:val="20"/>
          <w:szCs w:val="20"/>
          <w:lang w:val="vi-VN"/>
        </w:rPr>
        <w:t xml:space="preserve">Cao Bằng giảm </w:t>
      </w:r>
      <w:r w:rsidRPr="008B5944">
        <w:rPr>
          <w:sz w:val="20"/>
          <w:szCs w:val="20"/>
          <w:lang w:val="vi-VN"/>
        </w:rPr>
        <w:t>7,3</w:t>
      </w:r>
      <w:r>
        <w:rPr>
          <w:sz w:val="20"/>
          <w:szCs w:val="20"/>
          <w:lang w:val="vi-VN"/>
        </w:rPr>
        <w:t xml:space="preserve">%. Các địa phương có chỉ số của ngành sản xuất và phân phối điện </w:t>
      </w:r>
      <w:r w:rsidRPr="008B5944">
        <w:rPr>
          <w:sz w:val="20"/>
          <w:szCs w:val="20"/>
          <w:lang w:val="vi-VN"/>
        </w:rPr>
        <w:t>bảy</w:t>
      </w:r>
      <w:r>
        <w:rPr>
          <w:sz w:val="20"/>
          <w:szCs w:val="20"/>
          <w:lang w:val="vi-VN"/>
        </w:rPr>
        <w:t xml:space="preserve"> tháng năm 2025 </w:t>
      </w:r>
      <w:r w:rsidRPr="008B5944">
        <w:rPr>
          <w:sz w:val="20"/>
          <w:szCs w:val="20"/>
          <w:lang w:val="vi-VN"/>
        </w:rPr>
        <w:t xml:space="preserve">tăng thấp hoặc </w:t>
      </w:r>
      <w:r>
        <w:rPr>
          <w:sz w:val="20"/>
          <w:szCs w:val="20"/>
          <w:lang w:val="vi-VN"/>
        </w:rPr>
        <w:t xml:space="preserve">giảm so với cùng kỳ năm trước: </w:t>
      </w:r>
      <w:r w:rsidRPr="008B5944">
        <w:rPr>
          <w:sz w:val="20"/>
          <w:szCs w:val="20"/>
          <w:lang w:val="vi-VN"/>
        </w:rPr>
        <w:t>Lào Cai tăng 2,4%; Khánh Hòa tăng 1,0%; Lâm Đồng tăng 0,3%; Thành phố Hồ Chí Minh giảm 39,1%; Cao Bằng</w:t>
      </w:r>
      <w:r>
        <w:rPr>
          <w:sz w:val="20"/>
          <w:szCs w:val="20"/>
          <w:lang w:val="vi-VN"/>
        </w:rPr>
        <w:t xml:space="preserve"> giảm </w:t>
      </w:r>
      <w:r w:rsidRPr="008B5944">
        <w:rPr>
          <w:sz w:val="20"/>
          <w:szCs w:val="20"/>
          <w:lang w:val="vi-VN"/>
        </w:rPr>
        <w:t>4,6</w:t>
      </w:r>
      <w:r>
        <w:rPr>
          <w:sz w:val="20"/>
          <w:szCs w:val="20"/>
          <w:lang w:val="vi-VN"/>
        </w:rPr>
        <w:t xml:space="preserve">%; </w:t>
      </w:r>
      <w:r w:rsidRPr="008B5944">
        <w:rPr>
          <w:sz w:val="20"/>
          <w:szCs w:val="20"/>
          <w:lang w:val="vi-VN"/>
        </w:rPr>
        <w:t>Cà Mau</w:t>
      </w:r>
      <w:r>
        <w:rPr>
          <w:sz w:val="20"/>
          <w:szCs w:val="20"/>
          <w:lang w:val="vi-VN"/>
        </w:rPr>
        <w:t xml:space="preserve"> giảm </w:t>
      </w:r>
      <w:r w:rsidRPr="008B5944">
        <w:rPr>
          <w:sz w:val="20"/>
          <w:szCs w:val="20"/>
          <w:lang w:val="vi-VN"/>
        </w:rPr>
        <w:t>1,5</w:t>
      </w:r>
      <w:r>
        <w:rPr>
          <w:sz w:val="20"/>
          <w:szCs w:val="20"/>
          <w:lang w:val="vi-VN"/>
        </w:rPr>
        <w:t>%</w:t>
      </w:r>
      <w:r w:rsidRPr="008B5944">
        <w:rPr>
          <w:sz w:val="20"/>
          <w:szCs w:val="20"/>
          <w:lang w:val="vi-VN"/>
        </w:rPr>
        <w:t xml:space="preserve">. </w:t>
      </w:r>
      <w:r>
        <w:rPr>
          <w:sz w:val="20"/>
          <w:szCs w:val="20"/>
          <w:lang w:val="vi-VN"/>
        </w:rPr>
        <w:t xml:space="preserve">Địa phương có chỉ số sản xuất của ngành khai khoáng </w:t>
      </w:r>
      <w:r w:rsidRPr="008B5944">
        <w:rPr>
          <w:sz w:val="20"/>
          <w:szCs w:val="20"/>
          <w:lang w:val="vi-VN"/>
        </w:rPr>
        <w:t>bảy</w:t>
      </w:r>
      <w:r>
        <w:rPr>
          <w:sz w:val="20"/>
          <w:szCs w:val="20"/>
          <w:lang w:val="vi-VN"/>
        </w:rPr>
        <w:t xml:space="preserve"> tháng năm 2025 so với cùng kỳ năm trước giảm: </w:t>
      </w:r>
      <w:r w:rsidRPr="008B5944">
        <w:rPr>
          <w:sz w:val="20"/>
          <w:szCs w:val="20"/>
          <w:lang w:val="vi-VN"/>
        </w:rPr>
        <w:t>Quảng Trị giảm 13,6%; Thành phố Hồ Chí Minh giảm 7,5%; Cà Mau giảm 5,5%; Hà Nội giảm 4,9%; Lào Cai giảm 2,5%.</w:t>
      </w:r>
    </w:p>
  </w:footnote>
  <w:footnote w:id="9">
    <w:p w14:paraId="5FDBBF8B" w14:textId="2FBDE03B" w:rsidR="008B5944" w:rsidRPr="008B5944" w:rsidRDefault="008B5944" w:rsidP="008B5944">
      <w:pPr>
        <w:pStyle w:val="FootnoteText"/>
        <w:tabs>
          <w:tab w:val="left" w:pos="900"/>
        </w:tabs>
        <w:ind w:left="90" w:hanging="90"/>
        <w:jc w:val="both"/>
        <w:rPr>
          <w:lang w:val="en-US"/>
        </w:rPr>
      </w:pPr>
      <w:r>
        <w:rPr>
          <w:rStyle w:val="FootnoteReference"/>
        </w:rPr>
        <w:footnoteRef/>
      </w:r>
      <w:r>
        <w:t xml:space="preserve"> </w:t>
      </w:r>
      <w:r>
        <w:rPr>
          <w:lang w:val="vi-VN"/>
        </w:rPr>
        <w:t xml:space="preserve">Nguồn: Hệ thống thông tin đăng ký doanh nghiệp quốc gia, Cục </w:t>
      </w:r>
      <w:r>
        <w:rPr>
          <w:lang w:val="en-US"/>
        </w:rPr>
        <w:t>Phát triển doanh nghiệp tư nhân và Kinh tế tập thể, Bộ Tài chính</w:t>
      </w:r>
      <w:r>
        <w:rPr>
          <w:lang w:val="vi-VN"/>
        </w:rPr>
        <w:t xml:space="preserve">, </w:t>
      </w:r>
      <w:r>
        <w:rPr>
          <w:lang w:val="en-US"/>
        </w:rPr>
        <w:t xml:space="preserve">nhận </w:t>
      </w:r>
      <w:r>
        <w:rPr>
          <w:lang w:val="vi-VN"/>
        </w:rPr>
        <w:t xml:space="preserve">ngày </w:t>
      </w:r>
      <w:r>
        <w:rPr>
          <w:lang w:val="en-US"/>
        </w:rPr>
        <w:t>02/8/</w:t>
      </w:r>
      <w:r>
        <w:rPr>
          <w:lang w:val="vi-VN"/>
        </w:rPr>
        <w:t>202</w:t>
      </w:r>
      <w:r>
        <w:rPr>
          <w:lang w:val="en-US"/>
        </w:rPr>
        <w:t>5</w:t>
      </w:r>
      <w:r>
        <w:rPr>
          <w:lang w:val="vi-VN"/>
        </w:rPr>
        <w:t>.</w:t>
      </w:r>
      <w:r>
        <w:rPr>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w:t>
      </w:r>
      <w:r w:rsidRPr="00460807">
        <w:rPr>
          <w:lang w:val="en-US"/>
        </w:rPr>
        <w:t>đến ngày 20 của tháng báo cáo.</w:t>
      </w:r>
    </w:p>
  </w:footnote>
  <w:footnote w:id="10">
    <w:p w14:paraId="47C3DC08" w14:textId="306294DA" w:rsidR="008B5944" w:rsidRPr="008B5944" w:rsidRDefault="008B5944" w:rsidP="008B5944">
      <w:pPr>
        <w:tabs>
          <w:tab w:val="left" w:pos="1134"/>
          <w:tab w:val="left" w:pos="1276"/>
        </w:tabs>
        <w:ind w:left="180" w:hanging="180"/>
        <w:jc w:val="both"/>
        <w:rPr>
          <w:color w:val="FF0000"/>
          <w:spacing w:val="-2"/>
          <w:sz w:val="20"/>
          <w:szCs w:val="20"/>
        </w:rPr>
      </w:pPr>
      <w:r w:rsidRPr="008B5944">
        <w:rPr>
          <w:rStyle w:val="FootnoteReference"/>
          <w:spacing w:val="-2"/>
          <w:sz w:val="20"/>
          <w:szCs w:val="20"/>
        </w:rPr>
        <w:footnoteRef/>
      </w:r>
      <w:r w:rsidRPr="008B5944">
        <w:rPr>
          <w:spacing w:val="-2"/>
          <w:sz w:val="20"/>
          <w:szCs w:val="20"/>
        </w:rPr>
        <w:t xml:space="preserve"> Trong đó, số vốn tăng thêm của các doanh nghiệp đang hoạt động trong bảy tháng năm 2025 đạt hơn 2,4 nghìn tỷ đồng (gấp gần </w:t>
      </w:r>
      <w:r>
        <w:rPr>
          <w:spacing w:val="-2"/>
          <w:sz w:val="20"/>
          <w:szCs w:val="20"/>
        </w:rPr>
        <w:t>2</w:t>
      </w:r>
      <w:r w:rsidRPr="008B5944">
        <w:rPr>
          <w:spacing w:val="-2"/>
          <w:sz w:val="20"/>
          <w:szCs w:val="20"/>
        </w:rPr>
        <w:t xml:space="preserve">,9 lần so với cùng kỳ năm 2024). </w:t>
      </w:r>
    </w:p>
  </w:footnote>
  <w:footnote w:id="11">
    <w:p w14:paraId="402774AF" w14:textId="77777777" w:rsidR="008B5944" w:rsidRPr="008E0C09" w:rsidRDefault="008B5944" w:rsidP="00D6457E">
      <w:pPr>
        <w:pStyle w:val="FootnoteText"/>
      </w:pPr>
      <w:r w:rsidRPr="008E0C09">
        <w:rPr>
          <w:rStyle w:val="FootnoteReference"/>
        </w:rPr>
        <w:footnoteRef/>
      </w:r>
      <w:r w:rsidRPr="008E0C09">
        <w:t xml:space="preserve"> Theo báo cáo của Cục Đầu tư nước ngoài, Bộ</w:t>
      </w:r>
      <w:r w:rsidRPr="008E0C09">
        <w:rPr>
          <w:lang w:val="en-US"/>
        </w:rPr>
        <w:t xml:space="preserve"> Tài chính,</w:t>
      </w:r>
      <w:r w:rsidRPr="008E0C09">
        <w:t xml:space="preserve"> nhận ngày </w:t>
      </w:r>
      <w:r>
        <w:t>0</w:t>
      </w:r>
      <w:r>
        <w:rPr>
          <w:lang w:val="en-US"/>
        </w:rPr>
        <w:t>5</w:t>
      </w:r>
      <w:r w:rsidRPr="008E0C09">
        <w:t>/</w:t>
      </w:r>
      <w:r>
        <w:t>8</w:t>
      </w:r>
      <w:r w:rsidRPr="008E0C09">
        <w:t>/2025.</w:t>
      </w:r>
    </w:p>
  </w:footnote>
  <w:footnote w:id="12">
    <w:p w14:paraId="43EDEA7D" w14:textId="69FB7D81" w:rsidR="008B5944" w:rsidRDefault="008B5944" w:rsidP="000B60EE">
      <w:pPr>
        <w:pStyle w:val="FootnoteText"/>
        <w:spacing w:after="40"/>
        <w:ind w:left="198" w:hanging="198"/>
        <w:jc w:val="both"/>
        <w:rPr>
          <w:lang w:val="vi-VN"/>
        </w:rPr>
      </w:pPr>
      <w:r>
        <w:rPr>
          <w:rStyle w:val="FootnoteReference"/>
        </w:rPr>
        <w:footnoteRef/>
      </w:r>
      <w:r>
        <w:rPr>
          <w:lang w:val="vi-VN"/>
        </w:rPr>
        <w:t xml:space="preserve"> </w:t>
      </w:r>
      <w:r>
        <w:rPr>
          <w:lang w:val="en-US"/>
        </w:rPr>
        <w:t xml:space="preserve">Số liệu nhận từ Vụ Ngân sách nhà nước - </w:t>
      </w:r>
      <w:r w:rsidRPr="00F04402">
        <w:rPr>
          <w:lang w:val="vi-VN"/>
        </w:rPr>
        <w:t xml:space="preserve">Bộ Tài </w:t>
      </w:r>
      <w:r>
        <w:rPr>
          <w:lang w:val="en-US"/>
        </w:rPr>
        <w:t>c</w:t>
      </w:r>
      <w:r w:rsidRPr="00F04402">
        <w:rPr>
          <w:lang w:val="vi-VN"/>
        </w:rPr>
        <w:t>hính</w:t>
      </w:r>
      <w:r>
        <w:rPr>
          <w:lang w:val="en-US"/>
        </w:rPr>
        <w:t xml:space="preserve"> </w:t>
      </w:r>
      <w:r w:rsidRPr="00F04402">
        <w:rPr>
          <w:lang w:val="vi-VN"/>
        </w:rPr>
        <w:t xml:space="preserve">ngày </w:t>
      </w:r>
      <w:r>
        <w:rPr>
          <w:lang w:val="en-US"/>
        </w:rPr>
        <w:t>05/8/</w:t>
      </w:r>
      <w:r w:rsidRPr="00F04402">
        <w:rPr>
          <w:lang w:val="vi-VN"/>
        </w:rPr>
        <w:t>2025</w:t>
      </w:r>
      <w:r>
        <w:rPr>
          <w:lang w:val="vi-VN"/>
        </w:rPr>
        <w:t>.</w:t>
      </w:r>
    </w:p>
  </w:footnote>
  <w:footnote w:id="13">
    <w:p w14:paraId="28F5DF35" w14:textId="77777777" w:rsidR="008B5944" w:rsidRPr="00C00A2E" w:rsidRDefault="008B5944" w:rsidP="00552563">
      <w:pPr>
        <w:pStyle w:val="FootnoteText"/>
        <w:spacing w:before="40" w:after="40"/>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4">
    <w:p w14:paraId="7B80ADF2" w14:textId="77777777" w:rsidR="008B5944" w:rsidRPr="001F0CE3" w:rsidRDefault="008B5944" w:rsidP="00552563">
      <w:pPr>
        <w:jc w:val="both"/>
      </w:pPr>
      <w:r w:rsidRPr="00BC5895">
        <w:rPr>
          <w:rStyle w:val="FootnoteReference"/>
          <w:sz w:val="20"/>
          <w:szCs w:val="20"/>
        </w:rPr>
        <w:footnoteRef/>
      </w:r>
      <w:r w:rsidRPr="0052362F">
        <w:rPr>
          <w:spacing w:val="-2"/>
          <w:sz w:val="20"/>
          <w:szCs w:val="20"/>
        </w:rPr>
        <w:t xml:space="preserve"> </w:t>
      </w:r>
      <w:r w:rsidRPr="00315DF3">
        <w:rPr>
          <w:spacing w:val="-2"/>
          <w:sz w:val="20"/>
          <w:szCs w:val="20"/>
        </w:rPr>
        <w:t xml:space="preserve">Số liệu sơ bộ xuất khẩu, nhập khẩu hàng hóa tháng </w:t>
      </w:r>
      <w:r>
        <w:rPr>
          <w:spacing w:val="-2"/>
          <w:sz w:val="20"/>
          <w:szCs w:val="20"/>
        </w:rPr>
        <w:t>7</w:t>
      </w:r>
      <w:r w:rsidRPr="00315DF3">
        <w:rPr>
          <w:spacing w:val="-2"/>
          <w:sz w:val="20"/>
          <w:szCs w:val="20"/>
        </w:rPr>
        <w:t>/2025 do Cục Hải quan cung cấp ngày 0</w:t>
      </w:r>
      <w:r>
        <w:rPr>
          <w:spacing w:val="-2"/>
          <w:sz w:val="20"/>
          <w:szCs w:val="20"/>
        </w:rPr>
        <w:t>1</w:t>
      </w:r>
      <w:r w:rsidRPr="00315DF3">
        <w:rPr>
          <w:spacing w:val="-2"/>
          <w:sz w:val="20"/>
          <w:szCs w:val="20"/>
        </w:rPr>
        <w:t>/</w:t>
      </w:r>
      <w:r>
        <w:rPr>
          <w:spacing w:val="-2"/>
          <w:sz w:val="20"/>
          <w:szCs w:val="20"/>
        </w:rPr>
        <w:t>8</w:t>
      </w:r>
      <w:r w:rsidRPr="00315DF3">
        <w:rPr>
          <w:spacing w:val="-2"/>
          <w:sz w:val="20"/>
          <w:szCs w:val="20"/>
        </w:rPr>
        <w:t>/2025</w:t>
      </w:r>
      <w:r>
        <w:rPr>
          <w:spacing w:val="-2"/>
          <w:sz w:val="20"/>
          <w:szCs w:val="20"/>
        </w:rPr>
        <w:t>.</w:t>
      </w:r>
    </w:p>
  </w:footnote>
  <w:footnote w:id="15">
    <w:p w14:paraId="129E17E0" w14:textId="77777777" w:rsidR="008B5944" w:rsidRPr="009F297E" w:rsidRDefault="008B5944" w:rsidP="008B5944">
      <w:pPr>
        <w:pStyle w:val="FootnoteText"/>
        <w:spacing w:before="20" w:after="20"/>
        <w:ind w:left="198"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rPr>
        <w:t xml:space="preserve">bảy tháng </w:t>
      </w:r>
      <w:r w:rsidRPr="009F297E">
        <w:rPr>
          <w:bCs/>
          <w:color w:val="000000"/>
          <w:lang w:val="vi-VN"/>
        </w:rPr>
        <w:t xml:space="preserve">năm </w:t>
      </w:r>
      <w:r>
        <w:rPr>
          <w:bCs/>
          <w:color w:val="000000"/>
          <w:lang w:val="vi-VN"/>
        </w:rPr>
        <w:t>202</w:t>
      </w:r>
      <w:r>
        <w:rPr>
          <w:bCs/>
          <w:color w:val="000000"/>
        </w:rPr>
        <w:t>4</w:t>
      </w:r>
      <w:r w:rsidRPr="009F297E">
        <w:rPr>
          <w:bCs/>
          <w:color w:val="000000"/>
          <w:lang w:val="vi-VN"/>
        </w:rPr>
        <w:t xml:space="preserve"> đạt </w:t>
      </w:r>
      <w:r>
        <w:rPr>
          <w:bCs/>
          <w:color w:val="000000"/>
        </w:rPr>
        <w:t>442,45</w:t>
      </w:r>
      <w:r w:rsidRPr="009F297E">
        <w:rPr>
          <w:bCs/>
          <w:color w:val="000000"/>
          <w:lang w:val="vi-VN"/>
        </w:rPr>
        <w:t xml:space="preserve"> tỷ USD, </w:t>
      </w:r>
      <w:r>
        <w:rPr>
          <w:bCs/>
          <w:color w:val="000000"/>
        </w:rPr>
        <w:t>tăng</w:t>
      </w:r>
      <w:r w:rsidRPr="009F297E">
        <w:rPr>
          <w:bCs/>
          <w:color w:val="000000"/>
          <w:lang w:val="vi-VN"/>
        </w:rPr>
        <w:t xml:space="preserve"> </w:t>
      </w:r>
      <w:r>
        <w:rPr>
          <w:bCs/>
          <w:color w:val="000000"/>
        </w:rPr>
        <w:t>17,7</w:t>
      </w:r>
      <w:r w:rsidRPr="009F297E">
        <w:rPr>
          <w:bCs/>
          <w:color w:val="000000"/>
          <w:lang w:val="vi-VN"/>
        </w:rPr>
        <w:t xml:space="preserve">% so với </w:t>
      </w:r>
      <w:r>
        <w:rPr>
          <w:bCs/>
          <w:color w:val="000000"/>
        </w:rPr>
        <w:t xml:space="preserve">cùng kỳ </w:t>
      </w:r>
      <w:r w:rsidRPr="009F297E">
        <w:rPr>
          <w:bCs/>
          <w:color w:val="000000"/>
          <w:lang w:val="vi-VN"/>
        </w:rPr>
        <w:t xml:space="preserve">năm trước, trong đó xuất khẩu đạt </w:t>
      </w:r>
      <w:r>
        <w:rPr>
          <w:bCs/>
          <w:color w:val="000000"/>
        </w:rPr>
        <w:t>228,54</w:t>
      </w:r>
      <w:r w:rsidRPr="009F297E">
        <w:rPr>
          <w:bCs/>
          <w:color w:val="000000"/>
          <w:lang w:val="vi-VN"/>
        </w:rPr>
        <w:t xml:space="preserve"> tỷ USD, </w:t>
      </w:r>
      <w:r>
        <w:rPr>
          <w:bCs/>
          <w:color w:val="000000"/>
        </w:rPr>
        <w:t>tăng</w:t>
      </w:r>
      <w:r w:rsidRPr="009F297E">
        <w:rPr>
          <w:bCs/>
          <w:color w:val="000000"/>
          <w:lang w:val="vi-VN"/>
        </w:rPr>
        <w:t xml:space="preserve"> </w:t>
      </w:r>
      <w:r>
        <w:rPr>
          <w:bCs/>
          <w:color w:val="000000"/>
        </w:rPr>
        <w:t>16,5</w:t>
      </w:r>
      <w:r w:rsidRPr="009F297E">
        <w:rPr>
          <w:bCs/>
          <w:color w:val="000000"/>
          <w:lang w:val="vi-VN"/>
        </w:rPr>
        <w:t xml:space="preserve">%; nhập khẩu đạt </w:t>
      </w:r>
      <w:r>
        <w:rPr>
          <w:bCs/>
          <w:color w:val="000000"/>
        </w:rPr>
        <w:t>213,91</w:t>
      </w:r>
      <w:r w:rsidRPr="009F297E">
        <w:rPr>
          <w:bCs/>
          <w:color w:val="000000"/>
          <w:lang w:val="vi-VN"/>
        </w:rPr>
        <w:t xml:space="preserve"> tỷ USD, </w:t>
      </w:r>
      <w:r>
        <w:rPr>
          <w:bCs/>
          <w:color w:val="000000"/>
        </w:rPr>
        <w:t>tăng 19,1</w:t>
      </w:r>
      <w:r w:rsidRPr="009F297E">
        <w:rPr>
          <w:bCs/>
          <w:color w:val="000000"/>
          <w:lang w:val="vi-VN"/>
        </w:rPr>
        <w:t>%.</w:t>
      </w:r>
    </w:p>
  </w:footnote>
  <w:footnote w:id="16">
    <w:p w14:paraId="5606A2B2" w14:textId="77777777" w:rsidR="008B5944" w:rsidRPr="00783753" w:rsidRDefault="008B5944" w:rsidP="00552563">
      <w:pPr>
        <w:pStyle w:val="FootnoteText"/>
      </w:pPr>
      <w:r>
        <w:rPr>
          <w:rStyle w:val="FootnoteReference"/>
        </w:rPr>
        <w:footnoteRef/>
      </w:r>
      <w:r>
        <w:t xml:space="preserve"> Cao hơn 35 triệu USD</w:t>
      </w:r>
      <w:r w:rsidRPr="00552BC7">
        <w:rPr>
          <w:bCs/>
          <w:lang w:val="de-DE"/>
        </w:rPr>
        <w:t xml:space="preserve"> so với số </w:t>
      </w:r>
      <w:r>
        <w:rPr>
          <w:bCs/>
          <w:lang w:val="de-DE"/>
        </w:rPr>
        <w:t>liệu Cục Hải quan gửi Cục Thống kê ngày 02/7/2025.</w:t>
      </w:r>
    </w:p>
  </w:footnote>
  <w:footnote w:id="17">
    <w:p w14:paraId="579C7AF4" w14:textId="77777777" w:rsidR="008B5944" w:rsidRPr="00274429" w:rsidRDefault="008B5944" w:rsidP="00552563">
      <w:pPr>
        <w:pStyle w:val="FootnoteText"/>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02/7/2025.</w:t>
      </w:r>
    </w:p>
  </w:footnote>
  <w:footnote w:id="18">
    <w:p w14:paraId="569488D3" w14:textId="77777777" w:rsidR="008B5944" w:rsidRPr="00AD0AA6" w:rsidRDefault="008B5944" w:rsidP="00D20D50">
      <w:pPr>
        <w:pStyle w:val="FootnoteText"/>
        <w:spacing w:before="40" w:after="40" w:line="250" w:lineRule="auto"/>
        <w:ind w:left="198" w:hanging="198"/>
        <w:jc w:val="both"/>
      </w:pPr>
      <w:r w:rsidRPr="00390618">
        <w:rPr>
          <w:rStyle w:val="FootnoteReference"/>
        </w:rPr>
        <w:footnoteRef/>
      </w:r>
      <w:r w:rsidRPr="00390618">
        <w:rPr>
          <w:lang w:val="vi-VN"/>
        </w:rPr>
        <w:t xml:space="preserve"> </w:t>
      </w:r>
      <w:r>
        <w:t xml:space="preserve">Kỳ báo cáo </w:t>
      </w:r>
      <w:r w:rsidRPr="00390618">
        <w:rPr>
          <w:lang w:val="vi-VN"/>
        </w:rPr>
        <w:t xml:space="preserve">tháng </w:t>
      </w:r>
      <w:r>
        <w:t>Sáu</w:t>
      </w:r>
      <w:r w:rsidRPr="00390618">
        <w:rPr>
          <w:lang w:val="vi-VN"/>
        </w:rPr>
        <w:t xml:space="preserve"> </w:t>
      </w:r>
      <w:r>
        <w:t>sơ bộ xuất</w:t>
      </w:r>
      <w:r w:rsidRPr="00390618">
        <w:rPr>
          <w:lang w:val="vi-VN"/>
        </w:rPr>
        <w:t xml:space="preserve"> siêu </w:t>
      </w:r>
      <w:r>
        <w:t>2,83</w:t>
      </w:r>
      <w:r w:rsidRPr="00390618">
        <w:rPr>
          <w:lang w:val="vi-VN"/>
        </w:rPr>
        <w:t xml:space="preserve"> </w:t>
      </w:r>
      <w:r w:rsidRPr="00390618">
        <w:t>tỷ</w:t>
      </w:r>
      <w:r w:rsidRPr="00390618">
        <w:rPr>
          <w:lang w:val="vi-VN"/>
        </w:rPr>
        <w:t xml:space="preserve"> USD.</w:t>
      </w:r>
    </w:p>
  </w:footnote>
  <w:footnote w:id="19">
    <w:p w14:paraId="08FE1706" w14:textId="77777777" w:rsidR="008B5944" w:rsidRDefault="008B5944" w:rsidP="001A28E9">
      <w:pPr>
        <w:pStyle w:val="FootnoteText"/>
        <w:spacing w:after="40"/>
        <w:ind w:left="198" w:hanging="198"/>
        <w:jc w:val="both"/>
      </w:pPr>
      <w:r>
        <w:rPr>
          <w:rStyle w:val="FootnoteReference"/>
        </w:rPr>
        <w:footnoteRef/>
      </w:r>
      <w:r>
        <w:t xml:space="preserve"> Chỉ số giá điện sinh hoạt tháng 7/2025</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6/2025.</w:t>
      </w:r>
    </w:p>
  </w:footnote>
  <w:footnote w:id="20">
    <w:p w14:paraId="16C60179" w14:textId="44DE98C7" w:rsidR="008B5944" w:rsidRPr="008B5944" w:rsidRDefault="008B5944" w:rsidP="001A28E9">
      <w:pPr>
        <w:pStyle w:val="FootnoteText"/>
        <w:spacing w:after="40"/>
        <w:ind w:left="198" w:hanging="198"/>
        <w:jc w:val="both"/>
        <w:rPr>
          <w:lang w:val="vi-VN"/>
        </w:rPr>
      </w:pPr>
      <w:r w:rsidRPr="000F2A82">
        <w:rPr>
          <w:rStyle w:val="FootnoteReference"/>
        </w:rPr>
        <w:footnoteRef/>
      </w:r>
      <w:r w:rsidRPr="000F2A82">
        <w:rPr>
          <w:lang w:val="vi-VN"/>
        </w:rPr>
        <w:t xml:space="preserve"> </w:t>
      </w:r>
      <w:r w:rsidRPr="00F223E7">
        <w:rPr>
          <w:lang w:val="vi-VN"/>
        </w:rPr>
        <w:t>Giá gạo giảm do nguồn cung trong nước dồi dào. Bên cạnh đó, giá gạo xuất khẩu giảm do nguồn cung gạo từ Ấn Độ, Thái Lan và nhu cầu nhập khẩu gạo từ một số thị trường lớn như Phi-li-pin, In-đô-nê-xi-a giảm, tác động đến giá gạo trong nước.</w:t>
      </w:r>
      <w:r w:rsidRPr="008B5944">
        <w:rPr>
          <w:lang w:val="vi-VN"/>
        </w:rPr>
        <w:t xml:space="preserve"> Theo đó, chỉ số giá nhóm gạo giảm 0,36% (Gạo tẻ thường giảm 0,32%; gạo tẻ ngon giảm 0,59% và gạo nếp giảm 0,18%). Chỉ số giá một số mặt hàng lương thực khác giảm như: Giá ngô giảm 0,16%; ngũ cốc khác giảm 0,10%. Ở chiều ngược lại, giá khoai tăng 0,67%; mỳ sợi, mỳ, phở tăng 0,44%; bánh mì tăng 0,39%; bột ngô tăng 0,32%; sắn tăng 0,25%; miến tăng 0,23%; bột mì tăng 0,17%.</w:t>
      </w:r>
    </w:p>
  </w:footnote>
  <w:footnote w:id="21">
    <w:p w14:paraId="45332C97" w14:textId="77777777" w:rsidR="008B5944" w:rsidRPr="0038146C" w:rsidRDefault="008B5944" w:rsidP="001A28E9">
      <w:pPr>
        <w:pStyle w:val="FootnoteText"/>
        <w:spacing w:after="40"/>
        <w:ind w:left="198" w:hanging="198"/>
        <w:jc w:val="both"/>
        <w:rPr>
          <w:lang w:val="en-US"/>
        </w:rPr>
      </w:pPr>
      <w:r w:rsidRPr="000F2A82">
        <w:rPr>
          <w:rStyle w:val="FootnoteReference"/>
        </w:rPr>
        <w:footnoteRef/>
      </w:r>
      <w:r w:rsidRPr="000F2A82">
        <w:t xml:space="preserve"> </w:t>
      </w:r>
      <w:r w:rsidRPr="00970087">
        <w:t>Chỉ số giá thịt gia cầm tăng 0,27%</w:t>
      </w:r>
      <w:r>
        <w:t>; c</w:t>
      </w:r>
      <w:r w:rsidRPr="00970087">
        <w:t>hỉ số giá trứng các loại tăng 2,98%</w:t>
      </w:r>
      <w:r>
        <w:t>; c</w:t>
      </w:r>
      <w:r w:rsidRPr="00970087">
        <w:t>hỉ số giá dầu mỡ ăn và chất béo khác tăng 0,15%</w:t>
      </w:r>
      <w:r>
        <w:t>; c</w:t>
      </w:r>
      <w:r w:rsidRPr="00970087">
        <w:t>hỉ số giá rau tươi, khô và chế biến tăng 1,9</w:t>
      </w:r>
      <w:r w:rsidRPr="008B5944">
        <w:rPr>
          <w:lang w:val="vi-VN"/>
        </w:rPr>
        <w:t>0</w:t>
      </w:r>
      <w:r w:rsidRPr="00970087">
        <w:t>%</w:t>
      </w:r>
      <w:r>
        <w:t>; c</w:t>
      </w:r>
      <w:r w:rsidRPr="00970087">
        <w:t>hỉ số giá nước mắm, nước chấm tăng 0,4</w:t>
      </w:r>
      <w:r w:rsidRPr="008B5944">
        <w:rPr>
          <w:lang w:val="vi-VN"/>
        </w:rPr>
        <w:t>0</w:t>
      </w:r>
      <w:r w:rsidRPr="00970087">
        <w:t>%</w:t>
      </w:r>
      <w:r>
        <w:t>;</w:t>
      </w:r>
      <w:r w:rsidRPr="008A6873">
        <w:t xml:space="preserve"> </w:t>
      </w:r>
      <w:r>
        <w:t>g</w:t>
      </w:r>
      <w:r w:rsidRPr="008A6873">
        <w:t>iá thủy sản chế biến tăng 0,3</w:t>
      </w:r>
      <w:r w:rsidRPr="008B5944">
        <w:rPr>
          <w:lang w:val="vi-VN"/>
        </w:rPr>
        <w:t>0</w:t>
      </w:r>
      <w:r w:rsidRPr="008A6873">
        <w:t>%</w:t>
      </w:r>
      <w:r>
        <w:t xml:space="preserve">. </w:t>
      </w:r>
      <w:r w:rsidRPr="00970087">
        <w:t>Ở chiều ngược lại, một số mặt hàng thực phẩm có chỉ số giá giảm:</w:t>
      </w:r>
      <w:r>
        <w:t xml:space="preserve"> </w:t>
      </w:r>
      <w:r w:rsidRPr="00970087">
        <w:t>Chỉ số giá thịt lợn giảm 0,99%</w:t>
      </w:r>
      <w:r>
        <w:t>; c</w:t>
      </w:r>
      <w:r w:rsidRPr="00970087">
        <w:t>hỉ số giá quả tươi, chế biến giảm 0,32%</w:t>
      </w:r>
      <w:r>
        <w:rPr>
          <w:lang w:val="en-US"/>
        </w:rPr>
        <w:t>.</w:t>
      </w:r>
    </w:p>
  </w:footnote>
  <w:footnote w:id="22">
    <w:p w14:paraId="57426815" w14:textId="77777777" w:rsidR="008B5944" w:rsidRPr="000F2A82" w:rsidRDefault="008B5944" w:rsidP="001A28E9">
      <w:pPr>
        <w:pStyle w:val="FootnoteText"/>
        <w:spacing w:after="40"/>
        <w:ind w:left="198" w:hanging="198"/>
        <w:jc w:val="both"/>
        <w:rPr>
          <w:lang w:val="vi-VN"/>
        </w:rPr>
      </w:pPr>
      <w:r w:rsidRPr="000F2A82">
        <w:rPr>
          <w:rStyle w:val="FootnoteReference"/>
        </w:rPr>
        <w:footnoteRef/>
      </w:r>
      <w:r w:rsidRPr="000F2A82">
        <w:t xml:space="preserve"> </w:t>
      </w:r>
      <w:r w:rsidRPr="000F2A82">
        <w:rPr>
          <w:lang w:val="vi-VN"/>
        </w:rPr>
        <w:t xml:space="preserve">Do </w:t>
      </w:r>
      <w:r w:rsidRPr="000654CE">
        <w:rPr>
          <w:lang w:val="vi-VN"/>
        </w:rPr>
        <w:t>tháng Bảy là tháng cao điểm du lịch hè nên nhu cầu tiêu dùng tăng. Trong đó, giá ăn ngoài gia đình tăng 0,45%; uống ngoài gia đình tăng 0,24%; đồ ăn nhanh mang đi tăng 0,12%.</w:t>
      </w:r>
    </w:p>
  </w:footnote>
  <w:footnote w:id="23">
    <w:p w14:paraId="299FD58E" w14:textId="77777777" w:rsidR="008B5944" w:rsidRPr="000F2A82" w:rsidRDefault="008B5944" w:rsidP="001A28E9">
      <w:pPr>
        <w:pStyle w:val="FootnoteText"/>
        <w:spacing w:after="40"/>
        <w:ind w:left="198" w:hanging="198"/>
        <w:jc w:val="both"/>
        <w:rPr>
          <w:lang w:val="vi-VN"/>
        </w:rPr>
      </w:pPr>
      <w:r w:rsidRPr="000F2A82">
        <w:rPr>
          <w:rStyle w:val="FootnoteReference"/>
        </w:rPr>
        <w:footnoteRef/>
      </w:r>
      <w:r w:rsidRPr="000F2A82">
        <w:rPr>
          <w:lang w:val="vi-VN"/>
        </w:rPr>
        <w:t xml:space="preserve"> CPI sau khi loại trừ lương thực, thực phẩm tươi sống, năng lượng và mặt hàng do Nhà nước quản lý bao gồm dịch vụ y tế và giáo dục.</w:t>
      </w:r>
    </w:p>
  </w:footnote>
  <w:footnote w:id="24">
    <w:p w14:paraId="1277A268" w14:textId="77777777" w:rsidR="008B5944" w:rsidRDefault="008B5944" w:rsidP="001A28E9">
      <w:pPr>
        <w:pStyle w:val="FootnoteText"/>
        <w:spacing w:after="40"/>
        <w:ind w:left="198" w:hanging="198"/>
        <w:jc w:val="both"/>
        <w:rPr>
          <w:lang w:val="vi-VN"/>
        </w:rPr>
      </w:pPr>
      <w:r>
        <w:rPr>
          <w:rStyle w:val="FootnoteReference"/>
        </w:rPr>
        <w:footnoteRef/>
      </w:r>
      <w:r>
        <w:t xml:space="preserve"> </w:t>
      </w:r>
      <w:r>
        <w:rPr>
          <w:spacing w:val="2"/>
          <w:lang w:val="vi-VN"/>
        </w:rPr>
        <w:t>Đã bổ sung thêm sản lượng vận tải hành khách bằng đường sắt trên cao tại Hà Nội và Metro tại Thành phố Hồ Chí Minh</w:t>
      </w:r>
      <w:r>
        <w:rPr>
          <w:lang w:val="vi-VN"/>
        </w:rPr>
        <w:t>.</w:t>
      </w:r>
    </w:p>
  </w:footnote>
  <w:footnote w:id="25">
    <w:p w14:paraId="129E1FD0" w14:textId="2A97F524" w:rsidR="008B5944" w:rsidRDefault="008B5944" w:rsidP="001A28E9">
      <w:pPr>
        <w:tabs>
          <w:tab w:val="left" w:pos="426"/>
        </w:tabs>
        <w:spacing w:after="40"/>
        <w:ind w:left="198" w:hanging="198"/>
        <w:jc w:val="both"/>
        <w:rPr>
          <w:spacing w:val="-2"/>
          <w:sz w:val="20"/>
          <w:szCs w:val="20"/>
          <w:lang w:val="vi-VN"/>
        </w:rPr>
      </w:pPr>
      <w:r>
        <w:rPr>
          <w:rStyle w:val="FootnoteReference"/>
          <w:sz w:val="20"/>
          <w:szCs w:val="20"/>
        </w:rPr>
        <w:footnoteRef/>
      </w:r>
      <w:r>
        <w:rPr>
          <w:sz w:val="20"/>
          <w:szCs w:val="20"/>
          <w:lang w:val="vi-VN"/>
        </w:rPr>
        <w:t xml:space="preserve"> </w:t>
      </w:r>
      <w:r>
        <w:rPr>
          <w:spacing w:val="-2"/>
          <w:sz w:val="20"/>
          <w:szCs w:val="20"/>
          <w:lang w:val="vi-VN"/>
        </w:rPr>
        <w:t xml:space="preserve">Vận </w:t>
      </w:r>
      <w:r w:rsidRPr="008B5944">
        <w:rPr>
          <w:spacing w:val="-2"/>
          <w:sz w:val="20"/>
          <w:szCs w:val="20"/>
          <w:lang w:val="vi-VN"/>
        </w:rPr>
        <w:t>chuyển</w:t>
      </w:r>
      <w:r>
        <w:rPr>
          <w:spacing w:val="-2"/>
          <w:sz w:val="20"/>
          <w:szCs w:val="20"/>
          <w:lang w:val="vi-VN"/>
        </w:rPr>
        <w:t xml:space="preserve"> hành khách bằng đường biển </w:t>
      </w:r>
      <w:r w:rsidRPr="008B5944">
        <w:rPr>
          <w:spacing w:val="-2"/>
          <w:sz w:val="20"/>
          <w:szCs w:val="20"/>
          <w:lang w:val="vi-VN"/>
        </w:rPr>
        <w:t>bảy</w:t>
      </w:r>
      <w:r>
        <w:rPr>
          <w:spacing w:val="-2"/>
          <w:sz w:val="20"/>
          <w:szCs w:val="20"/>
          <w:lang w:val="vi-VN"/>
        </w:rPr>
        <w:t xml:space="preserve"> tháng năm 2025 giảm so với cùng kỳ năm trước chủ yếu do thời tiết không thuận lợi nên lượng khách đi biển giảm</w:t>
      </w:r>
      <w:r>
        <w:rPr>
          <w:color w:val="333333"/>
          <w:spacing w:val="-2"/>
          <w:sz w:val="20"/>
          <w:szCs w:val="20"/>
          <w:shd w:val="clear" w:color="auto" w:fill="FFFFFF"/>
          <w:lang w:val="vi-VN"/>
        </w:rPr>
        <w:t xml:space="preserve">, </w:t>
      </w:r>
      <w:r>
        <w:rPr>
          <w:spacing w:val="-2"/>
          <w:sz w:val="20"/>
          <w:szCs w:val="20"/>
          <w:lang w:val="vi-VN"/>
        </w:rPr>
        <w:t xml:space="preserve">nhiều tuyến tàu phải tạm dừng hoặc giảm tần suất hoạt động. </w:t>
      </w:r>
    </w:p>
  </w:footnote>
  <w:footnote w:id="26">
    <w:p w14:paraId="57373299" w14:textId="77777777" w:rsidR="008B5944" w:rsidRPr="008B5944" w:rsidRDefault="008B5944" w:rsidP="001A28E9">
      <w:pPr>
        <w:pStyle w:val="FootnoteText"/>
        <w:spacing w:after="40"/>
        <w:ind w:left="198" w:hanging="198"/>
        <w:jc w:val="both"/>
        <w:rPr>
          <w:lang w:val="vi-VN"/>
        </w:rPr>
      </w:pPr>
      <w:r>
        <w:rPr>
          <w:rStyle w:val="FootnoteReference"/>
        </w:rPr>
        <w:footnoteRef/>
      </w:r>
      <w:r w:rsidRPr="008B5944">
        <w:rPr>
          <w:spacing w:val="2"/>
          <w:lang w:val="vi-VN"/>
        </w:rPr>
        <w:t xml:space="preserve"> Theo báo cáo của Cục cửa khẩu, Bộ Tư lệnh Bộ đội biên phòng, Bộ Quốc phòng và Cục Xuất nhập cảnh, </w:t>
      </w:r>
      <w:r w:rsidRPr="008B5944">
        <w:rPr>
          <w:spacing w:val="2"/>
          <w:lang w:val="vi-VN"/>
        </w:rPr>
        <w:br/>
        <w:t>Bộ Công an.</w:t>
      </w:r>
    </w:p>
  </w:footnote>
  <w:footnote w:id="27">
    <w:p w14:paraId="7B9CEEB8" w14:textId="77777777" w:rsidR="008B5944" w:rsidRDefault="008B5944" w:rsidP="001A28E9">
      <w:pPr>
        <w:pStyle w:val="FootnoteText"/>
        <w:spacing w:after="40"/>
        <w:ind w:left="198" w:hanging="198"/>
        <w:jc w:val="both"/>
        <w:rPr>
          <w:lang w:val="vi-VN"/>
        </w:rPr>
      </w:pPr>
      <w:r>
        <w:rPr>
          <w:rStyle w:val="FootnoteReference"/>
        </w:rPr>
        <w:footnoteRef/>
      </w:r>
      <w:r>
        <w:rPr>
          <w:lang w:val="vi-VN"/>
        </w:rPr>
        <w:t xml:space="preserve"> Kỳ báo cáo từ ngày 26/6/2025 - 25/7/2025.</w:t>
      </w:r>
    </w:p>
  </w:footnote>
  <w:footnote w:id="28">
    <w:p w14:paraId="0255EB28" w14:textId="77777777" w:rsidR="008B5944" w:rsidRDefault="008B5944" w:rsidP="001A28E9">
      <w:pPr>
        <w:pStyle w:val="FootnoteText"/>
        <w:spacing w:after="40"/>
        <w:ind w:left="198" w:hanging="198"/>
        <w:rPr>
          <w:lang w:val="vi-VN"/>
        </w:rPr>
      </w:pPr>
      <w:r>
        <w:rPr>
          <w:rStyle w:val="FootnoteReference"/>
        </w:rPr>
        <w:footnoteRef/>
      </w:r>
      <w:r>
        <w:t xml:space="preserve"> </w:t>
      </w:r>
      <w:r>
        <w:rPr>
          <w:lang w:val="vi-VN"/>
        </w:rPr>
        <w:t>Một hộ dân cư có thể lựa chọn nhiều nguyên nhân làm giảm thu nhập.</w:t>
      </w:r>
    </w:p>
  </w:footnote>
  <w:footnote w:id="29">
    <w:p w14:paraId="352B1EF2" w14:textId="77777777" w:rsidR="008B5944" w:rsidRPr="008B5944" w:rsidRDefault="008B5944" w:rsidP="001A28E9">
      <w:pPr>
        <w:pStyle w:val="FootnoteText"/>
        <w:spacing w:after="40"/>
        <w:ind w:left="198" w:hanging="198"/>
        <w:rPr>
          <w:lang w:val="vi-VN"/>
        </w:rPr>
      </w:pPr>
      <w:r>
        <w:rPr>
          <w:rStyle w:val="FootnoteReference"/>
        </w:rPr>
        <w:footnoteRef/>
      </w:r>
      <w:r>
        <w:t xml:space="preserve"> Số liệu Chương trình đã điều chỉnh và cập nhật thêm so với báo cáo tháng 6/2025</w:t>
      </w:r>
      <w:r w:rsidRPr="008B5944">
        <w:rPr>
          <w:lang w:val="vi-VN"/>
        </w:rPr>
        <w:t>.</w:t>
      </w:r>
    </w:p>
  </w:footnote>
  <w:footnote w:id="30">
    <w:p w14:paraId="524EF358" w14:textId="77777777" w:rsidR="008B5944" w:rsidRDefault="008B5944" w:rsidP="001A28E9">
      <w:pPr>
        <w:pStyle w:val="FootnoteText"/>
        <w:spacing w:after="40"/>
        <w:ind w:left="198" w:hanging="198"/>
        <w:jc w:val="both"/>
      </w:pPr>
      <w:r>
        <w:rPr>
          <w:rStyle w:val="FootnoteReference"/>
        </w:rPr>
        <w:footnoteRef/>
      </w:r>
      <w:r>
        <w:t xml:space="preserve"> Theo báo cáo nhanh từ Văn phòng Bộ Công an và Cục Hàng hải </w:t>
      </w:r>
      <w:r>
        <w:rPr>
          <w:lang w:val="vi-VN"/>
        </w:rPr>
        <w:t xml:space="preserve">và Đường thủy </w:t>
      </w:r>
      <w:r>
        <w:t xml:space="preserve">Việt Nam (Bộ </w:t>
      </w:r>
      <w:r>
        <w:rPr>
          <w:lang w:val="vi-VN"/>
        </w:rPr>
        <w:t>Xây dựng</w:t>
      </w:r>
      <w:r>
        <w:t xml:space="preserve">) </w:t>
      </w:r>
      <w:r>
        <w:rPr>
          <w:lang w:val="de-DE"/>
        </w:rPr>
        <w:t>ngày 28/</w:t>
      </w:r>
      <w:r w:rsidRPr="008B5944">
        <w:rPr>
          <w:lang w:val="vi-VN"/>
        </w:rPr>
        <w:t>7</w:t>
      </w:r>
      <w:r>
        <w:rPr>
          <w:lang w:val="de-DE"/>
        </w:rPr>
        <w:t>/2025</w:t>
      </w:r>
      <w:r>
        <w:t>.</w:t>
      </w:r>
    </w:p>
  </w:footnote>
  <w:footnote w:id="31">
    <w:p w14:paraId="39DA681C" w14:textId="77777777" w:rsidR="008B5944" w:rsidRDefault="008B5944" w:rsidP="001A28E9">
      <w:pPr>
        <w:pStyle w:val="FootnoteText"/>
        <w:spacing w:after="40"/>
        <w:ind w:left="198" w:hanging="198"/>
        <w:jc w:val="both"/>
        <w:rPr>
          <w:spacing w:val="-2"/>
        </w:rPr>
      </w:pPr>
      <w:r>
        <w:rPr>
          <w:rStyle w:val="FootnoteReference"/>
        </w:rPr>
        <w:footnoteRef/>
      </w:r>
      <w:r>
        <w:t xml:space="preserve"> Tổng hợp Báo cáo từ </w:t>
      </w:r>
      <w:r>
        <w:rPr>
          <w:lang w:val="en-US"/>
        </w:rPr>
        <w:t>34</w:t>
      </w:r>
      <w:r>
        <w:t xml:space="preserve"> Sở Nông nghiệp và </w:t>
      </w:r>
      <w:r>
        <w:rPr>
          <w:lang w:val="en-US"/>
        </w:rPr>
        <w:t>Môi trường,</w:t>
      </w:r>
      <w:r>
        <w:t xml:space="preserve"> kỳ báo cáo từ ngày 19/</w:t>
      </w:r>
      <w:r>
        <w:rPr>
          <w:lang w:val="en-US"/>
        </w:rPr>
        <w:t xml:space="preserve">6 </w:t>
      </w:r>
      <w:r>
        <w:t>-</w:t>
      </w:r>
      <w:r>
        <w:rPr>
          <w:lang w:val="en-US"/>
        </w:rPr>
        <w:t xml:space="preserve"> </w:t>
      </w:r>
      <w:r>
        <w:t>18/</w:t>
      </w:r>
      <w:r>
        <w:rPr>
          <w:lang w:val="en-US"/>
        </w:rPr>
        <w:t>7</w:t>
      </w:r>
      <w:r>
        <w:t>/202</w:t>
      </w:r>
      <w:r>
        <w:rPr>
          <w:lang w:val="en-US"/>
        </w:rPr>
        <w:t>5</w:t>
      </w:r>
      <w:r>
        <w:t>.</w:t>
      </w:r>
    </w:p>
  </w:footnote>
  <w:footnote w:id="32">
    <w:p w14:paraId="0AD8DEA7" w14:textId="77777777" w:rsidR="008B5944" w:rsidRDefault="008B5944" w:rsidP="001A28E9">
      <w:pPr>
        <w:pStyle w:val="FootnoteText"/>
        <w:spacing w:after="40"/>
        <w:ind w:left="198" w:hanging="198"/>
        <w:jc w:val="both"/>
        <w:rPr>
          <w:lang w:val="en-US"/>
        </w:rPr>
      </w:pPr>
      <w:r>
        <w:rPr>
          <w:rStyle w:val="FootnoteReference"/>
        </w:rPr>
        <w:footnoteRef/>
      </w:r>
      <w:r>
        <w:t xml:space="preserve"> </w:t>
      </w:r>
      <w:r>
        <w:rPr>
          <w:lang w:val="en-US"/>
        </w:rPr>
        <w:t>T</w:t>
      </w:r>
      <w:r>
        <w:rPr>
          <w:lang w:val="de-DE"/>
        </w:rPr>
        <w:t xml:space="preserve">heo báo cáo từ Sở Nông nghiệp và Môi trường, Công an tỉnh, thành phố trực thuộc Trung ương được các </w:t>
      </w:r>
      <w:r>
        <w:rPr>
          <w:lang w:val="de-DE"/>
        </w:rPr>
        <w:br/>
        <w:t>Thống kê tỉnh, thành phố tổng hợp.</w:t>
      </w:r>
    </w:p>
  </w:footnote>
  <w:footnote w:id="33">
    <w:p w14:paraId="3CE27666" w14:textId="77777777" w:rsidR="008B5944" w:rsidRDefault="008B5944" w:rsidP="001A28E9">
      <w:pPr>
        <w:tabs>
          <w:tab w:val="left" w:pos="426"/>
          <w:tab w:val="left" w:pos="900"/>
        </w:tabs>
        <w:spacing w:after="40"/>
        <w:ind w:left="198" w:hanging="198"/>
        <w:jc w:val="both"/>
        <w:rPr>
          <w:sz w:val="20"/>
          <w:szCs w:val="20"/>
        </w:rPr>
      </w:pPr>
      <w:r>
        <w:rPr>
          <w:rStyle w:val="FootnoteReference"/>
          <w:sz w:val="20"/>
          <w:szCs w:val="20"/>
        </w:rPr>
        <w:footnoteRef/>
      </w:r>
      <w:r>
        <w:rPr>
          <w:sz w:val="20"/>
          <w:szCs w:val="20"/>
        </w:rPr>
        <w:t xml:space="preserve"> C</w:t>
      </w:r>
      <w:r>
        <w:rPr>
          <w:noProof/>
          <w:sz w:val="20"/>
          <w:szCs w:val="20"/>
        </w:rPr>
        <w:t xml:space="preserve">ó 6 địa phương không phát hiện vi phạm môi trường trong tháng 7/2025: </w:t>
      </w:r>
      <w:r w:rsidRPr="008B5944">
        <w:rPr>
          <w:sz w:val="20"/>
          <w:szCs w:val="20"/>
        </w:rPr>
        <w:t>Hải Phòng, Tuyên Quang, Quảng Ngãi, Gia Lai, Khánh Hòa và Lâm Đồng</w:t>
      </w:r>
      <w:r>
        <w:rPr>
          <w:spacing w:val="3"/>
          <w:sz w:val="20"/>
          <w:szCs w:val="20"/>
          <w:shd w:val="clear" w:color="auto" w:fill="FFFFFF"/>
        </w:rPr>
        <w:t>.</w:t>
      </w:r>
    </w:p>
  </w:footnote>
  <w:footnote w:id="34">
    <w:p w14:paraId="56E4F6B4" w14:textId="77777777" w:rsidR="008B5944" w:rsidRDefault="008B5944" w:rsidP="001A28E9">
      <w:pPr>
        <w:pStyle w:val="FootnoteText"/>
        <w:spacing w:after="40"/>
        <w:ind w:left="198" w:hanging="198"/>
      </w:pPr>
      <w:r>
        <w:rPr>
          <w:rStyle w:val="FootnoteReference"/>
        </w:rPr>
        <w:footnoteRef/>
      </w:r>
      <w:r>
        <w:t xml:space="preserve"> Theo báo cáo nhanh từ Bộ Công an ngày 23/</w:t>
      </w:r>
      <w:r>
        <w:rPr>
          <w:lang w:val="en-US"/>
        </w:rPr>
        <w:t>7</w:t>
      </w:r>
      <w:r>
        <w:t>/202</w:t>
      </w:r>
      <w:r>
        <w:rPr>
          <w:lang w:val="en-US"/>
        </w:rPr>
        <w:t>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34ECCB50" w:rsidR="008B5944" w:rsidRDefault="008B5944">
        <w:pPr>
          <w:pStyle w:val="Header"/>
          <w:jc w:val="center"/>
        </w:pPr>
        <w:r>
          <w:fldChar w:fldCharType="begin"/>
        </w:r>
        <w:r>
          <w:instrText xml:space="preserve"> PAGE   \* MERGEFORMAT </w:instrText>
        </w:r>
        <w:r>
          <w:fldChar w:fldCharType="separate"/>
        </w:r>
        <w:r>
          <w:rPr>
            <w:noProof/>
          </w:rPr>
          <w:t>14</w:t>
        </w:r>
        <w:r>
          <w:rPr>
            <w:noProof/>
          </w:rPr>
          <w:fldChar w:fldCharType="end"/>
        </w:r>
      </w:p>
    </w:sdtContent>
  </w:sdt>
  <w:p w14:paraId="39289854" w14:textId="77777777" w:rsidR="008B5944" w:rsidRDefault="008B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6881"/>
    <w:rsid w:val="000077A3"/>
    <w:rsid w:val="000121CD"/>
    <w:rsid w:val="000152D2"/>
    <w:rsid w:val="0001673B"/>
    <w:rsid w:val="000369C9"/>
    <w:rsid w:val="00046FE1"/>
    <w:rsid w:val="00053768"/>
    <w:rsid w:val="00065182"/>
    <w:rsid w:val="00077F57"/>
    <w:rsid w:val="000819C5"/>
    <w:rsid w:val="0008799D"/>
    <w:rsid w:val="0009370B"/>
    <w:rsid w:val="000A1904"/>
    <w:rsid w:val="000A4DD5"/>
    <w:rsid w:val="000A70AE"/>
    <w:rsid w:val="000A74BB"/>
    <w:rsid w:val="000B380E"/>
    <w:rsid w:val="000B60EE"/>
    <w:rsid w:val="000B6125"/>
    <w:rsid w:val="000C36C3"/>
    <w:rsid w:val="000C3F60"/>
    <w:rsid w:val="000E2DAC"/>
    <w:rsid w:val="000E3814"/>
    <w:rsid w:val="000F2A82"/>
    <w:rsid w:val="000F5C03"/>
    <w:rsid w:val="00115C03"/>
    <w:rsid w:val="00143375"/>
    <w:rsid w:val="00150724"/>
    <w:rsid w:val="00150C59"/>
    <w:rsid w:val="00163059"/>
    <w:rsid w:val="00164CF6"/>
    <w:rsid w:val="00172A13"/>
    <w:rsid w:val="00194482"/>
    <w:rsid w:val="001A28E9"/>
    <w:rsid w:val="001A2935"/>
    <w:rsid w:val="001B0CB3"/>
    <w:rsid w:val="001C09FE"/>
    <w:rsid w:val="001D18E3"/>
    <w:rsid w:val="001E419F"/>
    <w:rsid w:val="001E45D8"/>
    <w:rsid w:val="001E704B"/>
    <w:rsid w:val="001F753D"/>
    <w:rsid w:val="00213996"/>
    <w:rsid w:val="0022251B"/>
    <w:rsid w:val="00227754"/>
    <w:rsid w:val="00230689"/>
    <w:rsid w:val="00234456"/>
    <w:rsid w:val="00237569"/>
    <w:rsid w:val="002503FC"/>
    <w:rsid w:val="00267E54"/>
    <w:rsid w:val="002703C2"/>
    <w:rsid w:val="0028043C"/>
    <w:rsid w:val="002976A5"/>
    <w:rsid w:val="002A1B24"/>
    <w:rsid w:val="002A59FD"/>
    <w:rsid w:val="002A7012"/>
    <w:rsid w:val="002C3382"/>
    <w:rsid w:val="002F0924"/>
    <w:rsid w:val="002F1D7A"/>
    <w:rsid w:val="00306C05"/>
    <w:rsid w:val="00322F72"/>
    <w:rsid w:val="00325042"/>
    <w:rsid w:val="00334D3E"/>
    <w:rsid w:val="003416E5"/>
    <w:rsid w:val="0034650B"/>
    <w:rsid w:val="00356520"/>
    <w:rsid w:val="00364A78"/>
    <w:rsid w:val="0037466C"/>
    <w:rsid w:val="0038501F"/>
    <w:rsid w:val="00395A52"/>
    <w:rsid w:val="003A6C0C"/>
    <w:rsid w:val="003C1366"/>
    <w:rsid w:val="003D7EB5"/>
    <w:rsid w:val="003E05C9"/>
    <w:rsid w:val="003E2EA9"/>
    <w:rsid w:val="003E3B7F"/>
    <w:rsid w:val="003F243D"/>
    <w:rsid w:val="003F27DD"/>
    <w:rsid w:val="0041084F"/>
    <w:rsid w:val="004137C2"/>
    <w:rsid w:val="0044549D"/>
    <w:rsid w:val="0044652B"/>
    <w:rsid w:val="00446E14"/>
    <w:rsid w:val="00451302"/>
    <w:rsid w:val="00460807"/>
    <w:rsid w:val="00474340"/>
    <w:rsid w:val="004778A6"/>
    <w:rsid w:val="004865B8"/>
    <w:rsid w:val="00487CC0"/>
    <w:rsid w:val="00487D5A"/>
    <w:rsid w:val="00496C77"/>
    <w:rsid w:val="00497F6C"/>
    <w:rsid w:val="004A00F8"/>
    <w:rsid w:val="004A1C28"/>
    <w:rsid w:val="004A62A5"/>
    <w:rsid w:val="004C502C"/>
    <w:rsid w:val="004D3AFC"/>
    <w:rsid w:val="004E5EA8"/>
    <w:rsid w:val="004F77BE"/>
    <w:rsid w:val="00506A65"/>
    <w:rsid w:val="00516F94"/>
    <w:rsid w:val="00523D4D"/>
    <w:rsid w:val="00523D54"/>
    <w:rsid w:val="00524873"/>
    <w:rsid w:val="005303FE"/>
    <w:rsid w:val="005373D4"/>
    <w:rsid w:val="0054488F"/>
    <w:rsid w:val="00547852"/>
    <w:rsid w:val="00547B59"/>
    <w:rsid w:val="00552563"/>
    <w:rsid w:val="00554CB7"/>
    <w:rsid w:val="00567AEE"/>
    <w:rsid w:val="00570826"/>
    <w:rsid w:val="0059213B"/>
    <w:rsid w:val="005952D3"/>
    <w:rsid w:val="00597C48"/>
    <w:rsid w:val="005A1B70"/>
    <w:rsid w:val="005E06B2"/>
    <w:rsid w:val="005E6CD6"/>
    <w:rsid w:val="00602005"/>
    <w:rsid w:val="0060421C"/>
    <w:rsid w:val="00604D79"/>
    <w:rsid w:val="0061627F"/>
    <w:rsid w:val="00616B53"/>
    <w:rsid w:val="00636053"/>
    <w:rsid w:val="00636F24"/>
    <w:rsid w:val="00641365"/>
    <w:rsid w:val="00652EDE"/>
    <w:rsid w:val="00660BB2"/>
    <w:rsid w:val="006639B2"/>
    <w:rsid w:val="0068012E"/>
    <w:rsid w:val="006B1136"/>
    <w:rsid w:val="006C2640"/>
    <w:rsid w:val="006D01CD"/>
    <w:rsid w:val="006D3AD1"/>
    <w:rsid w:val="006D6E1A"/>
    <w:rsid w:val="006E70F3"/>
    <w:rsid w:val="006F1E1C"/>
    <w:rsid w:val="006F4A6A"/>
    <w:rsid w:val="00704CD6"/>
    <w:rsid w:val="00714FAE"/>
    <w:rsid w:val="007157C0"/>
    <w:rsid w:val="00745FB2"/>
    <w:rsid w:val="00750D2B"/>
    <w:rsid w:val="00750D6C"/>
    <w:rsid w:val="00751D7D"/>
    <w:rsid w:val="00754D51"/>
    <w:rsid w:val="0075695E"/>
    <w:rsid w:val="00764977"/>
    <w:rsid w:val="007669D5"/>
    <w:rsid w:val="00775C2D"/>
    <w:rsid w:val="00791EB6"/>
    <w:rsid w:val="00796815"/>
    <w:rsid w:val="007A07B6"/>
    <w:rsid w:val="007A1442"/>
    <w:rsid w:val="007D0954"/>
    <w:rsid w:val="007D7DF6"/>
    <w:rsid w:val="007D7F5F"/>
    <w:rsid w:val="007E7165"/>
    <w:rsid w:val="00804006"/>
    <w:rsid w:val="0080578A"/>
    <w:rsid w:val="008357AA"/>
    <w:rsid w:val="00840424"/>
    <w:rsid w:val="00844161"/>
    <w:rsid w:val="008524CA"/>
    <w:rsid w:val="00863116"/>
    <w:rsid w:val="00863C02"/>
    <w:rsid w:val="008854E5"/>
    <w:rsid w:val="00887048"/>
    <w:rsid w:val="00896A26"/>
    <w:rsid w:val="008B46EF"/>
    <w:rsid w:val="008B5944"/>
    <w:rsid w:val="008E3B41"/>
    <w:rsid w:val="008E7575"/>
    <w:rsid w:val="00900A3C"/>
    <w:rsid w:val="00910C0B"/>
    <w:rsid w:val="0091355E"/>
    <w:rsid w:val="0093386E"/>
    <w:rsid w:val="00943417"/>
    <w:rsid w:val="00954751"/>
    <w:rsid w:val="009727E2"/>
    <w:rsid w:val="009800EF"/>
    <w:rsid w:val="0098739D"/>
    <w:rsid w:val="00987AF4"/>
    <w:rsid w:val="00987FCB"/>
    <w:rsid w:val="00990378"/>
    <w:rsid w:val="00995382"/>
    <w:rsid w:val="00996744"/>
    <w:rsid w:val="009B7579"/>
    <w:rsid w:val="009D1981"/>
    <w:rsid w:val="009D7B71"/>
    <w:rsid w:val="009E1408"/>
    <w:rsid w:val="009E6614"/>
    <w:rsid w:val="009F0173"/>
    <w:rsid w:val="009F1DD5"/>
    <w:rsid w:val="009F4512"/>
    <w:rsid w:val="009F58B2"/>
    <w:rsid w:val="00A1441B"/>
    <w:rsid w:val="00A14C64"/>
    <w:rsid w:val="00A20310"/>
    <w:rsid w:val="00A2135E"/>
    <w:rsid w:val="00A24A05"/>
    <w:rsid w:val="00A50685"/>
    <w:rsid w:val="00A53644"/>
    <w:rsid w:val="00A76E9E"/>
    <w:rsid w:val="00A87A96"/>
    <w:rsid w:val="00A91B58"/>
    <w:rsid w:val="00A94DA6"/>
    <w:rsid w:val="00AB60D7"/>
    <w:rsid w:val="00AC3C91"/>
    <w:rsid w:val="00AD2CD8"/>
    <w:rsid w:val="00AE05A0"/>
    <w:rsid w:val="00AE1773"/>
    <w:rsid w:val="00AF623D"/>
    <w:rsid w:val="00AF7CC6"/>
    <w:rsid w:val="00B21DD2"/>
    <w:rsid w:val="00B23703"/>
    <w:rsid w:val="00B361A4"/>
    <w:rsid w:val="00B51472"/>
    <w:rsid w:val="00B77C39"/>
    <w:rsid w:val="00B93AF6"/>
    <w:rsid w:val="00BA6DFA"/>
    <w:rsid w:val="00BB1D65"/>
    <w:rsid w:val="00BC125D"/>
    <w:rsid w:val="00BC465A"/>
    <w:rsid w:val="00BD5E18"/>
    <w:rsid w:val="00BD64F8"/>
    <w:rsid w:val="00BE3F0E"/>
    <w:rsid w:val="00C05051"/>
    <w:rsid w:val="00C25A07"/>
    <w:rsid w:val="00C357CC"/>
    <w:rsid w:val="00C462EE"/>
    <w:rsid w:val="00C53575"/>
    <w:rsid w:val="00C547CA"/>
    <w:rsid w:val="00C600D3"/>
    <w:rsid w:val="00C67D4D"/>
    <w:rsid w:val="00C71D23"/>
    <w:rsid w:val="00C7603D"/>
    <w:rsid w:val="00C824C1"/>
    <w:rsid w:val="00C84FB4"/>
    <w:rsid w:val="00C87DEE"/>
    <w:rsid w:val="00C918A8"/>
    <w:rsid w:val="00C93637"/>
    <w:rsid w:val="00C94A41"/>
    <w:rsid w:val="00C97E1B"/>
    <w:rsid w:val="00CA1C11"/>
    <w:rsid w:val="00CA2F59"/>
    <w:rsid w:val="00CA6605"/>
    <w:rsid w:val="00CB3816"/>
    <w:rsid w:val="00CB654F"/>
    <w:rsid w:val="00CC1BD7"/>
    <w:rsid w:val="00CC4DB2"/>
    <w:rsid w:val="00CC654E"/>
    <w:rsid w:val="00CF1092"/>
    <w:rsid w:val="00D0358D"/>
    <w:rsid w:val="00D046EB"/>
    <w:rsid w:val="00D12536"/>
    <w:rsid w:val="00D13E7A"/>
    <w:rsid w:val="00D20D50"/>
    <w:rsid w:val="00D217B2"/>
    <w:rsid w:val="00D32974"/>
    <w:rsid w:val="00D32A32"/>
    <w:rsid w:val="00D32F05"/>
    <w:rsid w:val="00D36B96"/>
    <w:rsid w:val="00D6457E"/>
    <w:rsid w:val="00D67928"/>
    <w:rsid w:val="00D7570C"/>
    <w:rsid w:val="00D8287C"/>
    <w:rsid w:val="00D82D26"/>
    <w:rsid w:val="00D97BF4"/>
    <w:rsid w:val="00DC0F95"/>
    <w:rsid w:val="00DC390A"/>
    <w:rsid w:val="00DC40E3"/>
    <w:rsid w:val="00DD003E"/>
    <w:rsid w:val="00DD6C35"/>
    <w:rsid w:val="00DE070D"/>
    <w:rsid w:val="00DF7422"/>
    <w:rsid w:val="00E10D8A"/>
    <w:rsid w:val="00E11C99"/>
    <w:rsid w:val="00E215C1"/>
    <w:rsid w:val="00E60EC2"/>
    <w:rsid w:val="00E66B8C"/>
    <w:rsid w:val="00E80885"/>
    <w:rsid w:val="00E9463A"/>
    <w:rsid w:val="00EA1546"/>
    <w:rsid w:val="00EA3B11"/>
    <w:rsid w:val="00EC0D81"/>
    <w:rsid w:val="00EC1DB1"/>
    <w:rsid w:val="00ED5502"/>
    <w:rsid w:val="00EE0213"/>
    <w:rsid w:val="00EE23A0"/>
    <w:rsid w:val="00EF01E6"/>
    <w:rsid w:val="00EF381D"/>
    <w:rsid w:val="00EF5A46"/>
    <w:rsid w:val="00EF64B7"/>
    <w:rsid w:val="00F004B8"/>
    <w:rsid w:val="00F27202"/>
    <w:rsid w:val="00F344F5"/>
    <w:rsid w:val="00F36A05"/>
    <w:rsid w:val="00F41C4B"/>
    <w:rsid w:val="00F4248B"/>
    <w:rsid w:val="00F572C3"/>
    <w:rsid w:val="00F578DC"/>
    <w:rsid w:val="00F606BE"/>
    <w:rsid w:val="00F649BD"/>
    <w:rsid w:val="00F64AB4"/>
    <w:rsid w:val="00F7671F"/>
    <w:rsid w:val="00F80636"/>
    <w:rsid w:val="00F82A99"/>
    <w:rsid w:val="00F878EE"/>
    <w:rsid w:val="00F93032"/>
    <w:rsid w:val="00F93C5A"/>
    <w:rsid w:val="00F95134"/>
    <w:rsid w:val="00FA1999"/>
    <w:rsid w:val="00FA5F38"/>
    <w:rsid w:val="00FC0A3A"/>
    <w:rsid w:val="00FC44A7"/>
    <w:rsid w:val="00FC6362"/>
    <w:rsid w:val="00FD03BB"/>
    <w:rsid w:val="00FE2CBF"/>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42.9.250\tkth02\Tram%20Anh\Th&#225;ng%205\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0.42.9.250\tkth02\Tram%20Anh\Th&#225;ng%205\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PH%202025\N&#259;m%202025\b&#225;o%20cao%20th&#225;ng\Th&#225;ng%207%202025\bi&#7875;u%20&#273;&#7891;%20FDI%20T7%20202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tphuong\Desktop\PH%202025\N&#259;m%202025\b&#225;o%20cao%20th&#225;ng\Th&#225;ng%205%202025\Th&#225;ng%206%202025\bi&#7875;u%20&#273;&#7891;%20FDI%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5\Th&#225;ng%207.2025\TH\Bi&#7875;u%20&#273;&#7891;%20XNK%20T7.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02%20BAO%20CAO\NAM2025\Th&#225;ng%207.2025\TH\Bi&#7875;u%20&#273;&#7891;%20XNK%20T7.2025.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nthhuong\Downloads\Bi&#7875;u%20&#273;&#7891;%20CPI_%2030.7.2025.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1.7781953992911006E-3"/>
                  <c:y val="-0.331658242836672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23-44C0-9C82-1D87D63EBA4E}"/>
                </c:ext>
              </c:extLst>
            </c:dLbl>
            <c:dLbl>
              <c:idx val="1"/>
              <c:layout>
                <c:manualLayout>
                  <c:x val="3.7764350453171861E-3"/>
                  <c:y val="-0.305961030763489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3-44C0-9C82-1D87D63EBA4E}"/>
                </c:ext>
              </c:extLst>
            </c:dLbl>
            <c:dLbl>
              <c:idx val="2"/>
              <c:layout>
                <c:manualLayout>
                  <c:x val="0"/>
                  <c:y val="-0.30815472281434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23-44C0-9C82-1D87D63EBA4E}"/>
                </c:ext>
              </c:extLst>
            </c:dLbl>
            <c:dLbl>
              <c:idx val="3"/>
              <c:layout>
                <c:manualLayout>
                  <c:x val="0"/>
                  <c:y val="-0.269532062930003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23-44C0-9C82-1D87D63EBA4E}"/>
                </c:ext>
              </c:extLst>
            </c:dLbl>
            <c:dLbl>
              <c:idx val="4"/>
              <c:layout>
                <c:manualLayout>
                  <c:x val="-1.7610758148684997E-3"/>
                  <c:y val="-0.26784632740104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23-44C0-9C82-1D87D63EBA4E}"/>
                </c:ext>
              </c:extLst>
            </c:dLbl>
            <c:dLbl>
              <c:idx val="5"/>
              <c:layout>
                <c:manualLayout>
                  <c:x val="-2.3725989915282069E-4"/>
                  <c:y val="-0.253072627700457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23-44C0-9C82-1D87D63EBA4E}"/>
                </c:ext>
              </c:extLst>
            </c:dLbl>
            <c:dLbl>
              <c:idx val="6"/>
              <c:layout>
                <c:manualLayout>
                  <c:x val="-1.7610758148684997E-3"/>
                  <c:y val="-0.265880004953635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23-44C0-9C82-1D87D63EBA4E}"/>
                </c:ext>
              </c:extLst>
            </c:dLbl>
            <c:dLbl>
              <c:idx val="7"/>
              <c:layout>
                <c:manualLayout>
                  <c:x val="-1.2914406787373094E-16"/>
                  <c:y val="-0.27355137027348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23-44C0-9C82-1D87D63EBA4E}"/>
                </c:ext>
              </c:extLst>
            </c:dLbl>
            <c:dLbl>
              <c:idx val="8"/>
              <c:layout>
                <c:manualLayout>
                  <c:x val="-3.9968100954295089E-3"/>
                  <c:y val="-0.248469012104152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23-44C0-9C82-1D87D63EBA4E}"/>
                </c:ext>
              </c:extLst>
            </c:dLbl>
            <c:dLbl>
              <c:idx val="9"/>
              <c:layout>
                <c:manualLayout>
                  <c:x val="-1.7610758148684997E-3"/>
                  <c:y val="-0.259662077651817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23-44C0-9C82-1D87D63EBA4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Sheet1!$A$1:$A$10</c:f>
              <c:strCache>
                <c:ptCount val="10"/>
                <c:pt idx="0">
                  <c:v> Phú Thọ</c:v>
                </c:pt>
                <c:pt idx="1">
                  <c:v> Ninh Bình</c:v>
                </c:pt>
                <c:pt idx="2">
                  <c:v> Huế</c:v>
                </c:pt>
                <c:pt idx="3">
                  <c:v> Lai Châu</c:v>
                </c:pt>
                <c:pt idx="4">
                  <c:v> Bắc Ninh</c:v>
                </c:pt>
                <c:pt idx="5">
                  <c:v> Nghệ An</c:v>
                </c:pt>
                <c:pt idx="6">
                  <c:v> Tây Ninh</c:v>
                </c:pt>
                <c:pt idx="7">
                  <c:v> Thanh Hoá</c:v>
                </c:pt>
                <c:pt idx="8">
                  <c:v> Quảng Ninh</c:v>
                </c:pt>
                <c:pt idx="9">
                  <c:v> Quảng Ngãi</c:v>
                </c:pt>
              </c:strCache>
            </c:strRef>
          </c:cat>
          <c:val>
            <c:numRef>
              <c:f>Sheet1!$B$1:$B$10</c:f>
              <c:numCache>
                <c:formatCode>0.0</c:formatCode>
                <c:ptCount val="10"/>
                <c:pt idx="0">
                  <c:v>25.730000000000004</c:v>
                </c:pt>
                <c:pt idx="1">
                  <c:v>22.519999999999996</c:v>
                </c:pt>
                <c:pt idx="2">
                  <c:v>18.239999999999995</c:v>
                </c:pt>
                <c:pt idx="3">
                  <c:v>16.900000000000006</c:v>
                </c:pt>
                <c:pt idx="4">
                  <c:v>16.47</c:v>
                </c:pt>
                <c:pt idx="5">
                  <c:v>15.769999999999996</c:v>
                </c:pt>
                <c:pt idx="6">
                  <c:v>15.340000000000003</c:v>
                </c:pt>
                <c:pt idx="7">
                  <c:v>15.170000000000002</c:v>
                </c:pt>
                <c:pt idx="8">
                  <c:v>15.079999999999998</c:v>
                </c:pt>
                <c:pt idx="9">
                  <c:v>14.549999999999997</c:v>
                </c:pt>
              </c:numCache>
            </c:numRef>
          </c:val>
          <c:extLst>
            <c:ext xmlns:c16="http://schemas.microsoft.com/office/drawing/2014/chart" uri="{C3380CC4-5D6E-409C-BE32-E72D297353CC}">
              <c16:uniqueId val="{0000000A-0623-44C0-9C82-1D87D63EBA4E}"/>
            </c:ext>
          </c:extLst>
        </c:ser>
        <c:dLbls>
          <c:dLblPos val="ctr"/>
          <c:showLegendKey val="0"/>
          <c:showVal val="1"/>
          <c:showCatName val="0"/>
          <c:showSerName val="0"/>
          <c:showPercent val="0"/>
          <c:showBubbleSize val="0"/>
        </c:dLbls>
        <c:gapWidth val="150"/>
        <c:overlap val="100"/>
        <c:axId val="-1100208608"/>
        <c:axId val="-1100210240"/>
      </c:barChart>
      <c:catAx>
        <c:axId val="-11002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0210240"/>
        <c:crosses val="autoZero"/>
        <c:auto val="1"/>
        <c:lblAlgn val="ctr"/>
        <c:lblOffset val="100"/>
        <c:noMultiLvlLbl val="0"/>
      </c:catAx>
      <c:valAx>
        <c:axId val="-1100210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020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rgbClr val="C00000"/>
            </a:solidFill>
            <a:ln>
              <a:noFill/>
            </a:ln>
            <a:effectLst/>
          </c:spPr>
          <c:invertIfNegative val="0"/>
          <c:dLbls>
            <c:dLbl>
              <c:idx val="0"/>
              <c:layout>
                <c:manualLayout>
                  <c:x val="1.6769103441865083E-3"/>
                  <c:y val="-8.89787218889990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B4-474B-A364-D4FADF434B14}"/>
                </c:ext>
              </c:extLst>
            </c:dLbl>
            <c:dLbl>
              <c:idx val="1"/>
              <c:layout>
                <c:manualLayout>
                  <c:x val="-4.2768273716951789E-4"/>
                  <c:y val="-0.133603598036792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4-474B-A364-D4FADF434B14}"/>
                </c:ext>
              </c:extLst>
            </c:dLbl>
            <c:dLbl>
              <c:idx val="2"/>
              <c:layout>
                <c:manualLayout>
                  <c:x val="-2.4669058669377414E-3"/>
                  <c:y val="-0.149969986935489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B4-474B-A364-D4FADF434B14}"/>
                </c:ext>
              </c:extLst>
            </c:dLbl>
            <c:dLbl>
              <c:idx val="3"/>
              <c:layout>
                <c:manualLayout>
                  <c:x val="1.6470530608246286E-4"/>
                  <c:y val="-0.2422094029165636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B4-474B-A364-D4FADF434B14}"/>
                </c:ext>
              </c:extLst>
            </c:dLbl>
            <c:dLbl>
              <c:idx val="4"/>
              <c:layout>
                <c:manualLayout>
                  <c:x val="-4.0977333121073704E-3"/>
                  <c:y val="-0.226698827725009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B4-474B-A364-D4FADF434B14}"/>
                </c:ext>
              </c:extLst>
            </c:dLbl>
            <c:dLbl>
              <c:idx val="5"/>
              <c:layout>
                <c:manualLayout>
                  <c:x val="1.6770551426017316E-3"/>
                  <c:y val="-0.238541188517354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B4-474B-A364-D4FADF434B14}"/>
                </c:ext>
              </c:extLst>
            </c:dLbl>
            <c:dLbl>
              <c:idx val="6"/>
              <c:layout>
                <c:manualLayout>
                  <c:x val="0"/>
                  <c:y val="-0.249341919423749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B4-474B-A364-D4FADF434B14}"/>
                </c:ext>
              </c:extLst>
            </c:dLbl>
            <c:dLbl>
              <c:idx val="7"/>
              <c:layout>
                <c:manualLayout>
                  <c:x val="-6.7320997783519674E-4"/>
                  <c:y val="-0.234258589032873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B4-474B-A364-D4FADF434B14}"/>
                </c:ext>
              </c:extLst>
            </c:dLbl>
            <c:dLbl>
              <c:idx val="8"/>
              <c:layout>
                <c:manualLayout>
                  <c:x val="4.5612348611944499E-3"/>
                  <c:y val="-0.255045284417923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B4-474B-A364-D4FADF434B14}"/>
                </c:ext>
              </c:extLst>
            </c:dLbl>
            <c:dLbl>
              <c:idx val="9"/>
              <c:layout>
                <c:manualLayout>
                  <c:x val="7.8985072433597437E-4"/>
                  <c:y val="-0.2508218283252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B4-474B-A364-D4FADF434B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Sheet1!$A$16:$A$25</c:f>
              <c:strCache>
                <c:ptCount val="10"/>
                <c:pt idx="0">
                  <c:v> Cao Bằng</c:v>
                </c:pt>
                <c:pt idx="1">
                  <c:v> Hà Tĩnh</c:v>
                </c:pt>
                <c:pt idx="2">
                  <c:v> Lâm Đồng</c:v>
                </c:pt>
                <c:pt idx="3">
                  <c:v>Thành phố Hồ Chí Minh</c:v>
                </c:pt>
                <c:pt idx="4">
                  <c:v> Lạng Sơn</c:v>
                </c:pt>
                <c:pt idx="5">
                  <c:v> Khánh Hoà</c:v>
                </c:pt>
                <c:pt idx="6">
                  <c:v>Hà Nội</c:v>
                </c:pt>
                <c:pt idx="7">
                  <c:v> Lào Cai</c:v>
                </c:pt>
                <c:pt idx="8">
                  <c:v> Quảng Trị</c:v>
                </c:pt>
                <c:pt idx="9">
                  <c:v> Cà Mau</c:v>
                </c:pt>
              </c:strCache>
            </c:strRef>
          </c:cat>
          <c:val>
            <c:numRef>
              <c:f>Sheet1!$B$16:$B$25</c:f>
              <c:numCache>
                <c:formatCode>0.0</c:formatCode>
                <c:ptCount val="10"/>
                <c:pt idx="0">
                  <c:v>1.0400000000000063</c:v>
                </c:pt>
                <c:pt idx="1">
                  <c:v>2.8799999999999955</c:v>
                </c:pt>
                <c:pt idx="2">
                  <c:v>3.4899999999999949</c:v>
                </c:pt>
                <c:pt idx="3">
                  <c:v>5.3400000000000034</c:v>
                </c:pt>
                <c:pt idx="4">
                  <c:v>5.4899999999999949</c:v>
                </c:pt>
                <c:pt idx="5">
                  <c:v>5.6400000000000006</c:v>
                </c:pt>
                <c:pt idx="6">
                  <c:v>6.230000000000004</c:v>
                </c:pt>
                <c:pt idx="7">
                  <c:v>6.730000000000004</c:v>
                </c:pt>
                <c:pt idx="8">
                  <c:v>6.9699999999999989</c:v>
                </c:pt>
                <c:pt idx="9">
                  <c:v>7.1099999999999994</c:v>
                </c:pt>
              </c:numCache>
            </c:numRef>
          </c:val>
          <c:extLst>
            <c:ext xmlns:c16="http://schemas.microsoft.com/office/drawing/2014/chart" uri="{C3380CC4-5D6E-409C-BE32-E72D297353CC}">
              <c16:uniqueId val="{0000000A-14B4-474B-A364-D4FADF434B14}"/>
            </c:ext>
          </c:extLst>
        </c:ser>
        <c:dLbls>
          <c:dLblPos val="ctr"/>
          <c:showLegendKey val="0"/>
          <c:showVal val="1"/>
          <c:showCatName val="0"/>
          <c:showSerName val="0"/>
          <c:showPercent val="0"/>
          <c:showBubbleSize val="0"/>
        </c:dLbls>
        <c:gapWidth val="150"/>
        <c:overlap val="100"/>
        <c:axId val="-1343204944"/>
        <c:axId val="-1343207120"/>
      </c:barChart>
      <c:catAx>
        <c:axId val="-1343204944"/>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3207120"/>
        <c:crosses val="autoZero"/>
        <c:auto val="1"/>
        <c:lblAlgn val="ctr"/>
        <c:lblOffset val="100"/>
        <c:noMultiLvlLbl val="0"/>
      </c:catAx>
      <c:valAx>
        <c:axId val="-1343207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320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7 tháng năm  2024</c:v>
                </c:pt>
              </c:strCache>
            </c:strRef>
          </c:tx>
          <c:spPr>
            <a:solidFill>
              <a:srgbClr val="CFB09D"/>
            </a:solidFill>
            <a:ln>
              <a:noFill/>
            </a:ln>
            <a:effectLst/>
          </c:spPr>
          <c:invertIfNegative val="0"/>
          <c:cat>
            <c:strRef>
              <c:f>'Hình 7. Địa phương'!$C$5:$C$13</c:f>
              <c:strCache>
                <c:ptCount val="9"/>
                <c:pt idx="0">
                  <c:v>TP. Hồ Chí Minh</c:v>
                </c:pt>
                <c:pt idx="1">
                  <c:v>Hà Nội</c:v>
                </c:pt>
                <c:pt idx="2">
                  <c:v>Ninh Bình</c:v>
                </c:pt>
                <c:pt idx="3">
                  <c:v>Hưng Yên</c:v>
                </c:pt>
                <c:pt idx="4">
                  <c:v>Hải Phòng</c:v>
                </c:pt>
                <c:pt idx="5">
                  <c:v>Phú Thọ</c:v>
                </c:pt>
                <c:pt idx="6">
                  <c:v>Cần Thơ</c:v>
                </c:pt>
                <c:pt idx="7">
                  <c:v>Đồng Nai</c:v>
                </c:pt>
                <c:pt idx="8">
                  <c:v>Đà Nẵng</c:v>
                </c:pt>
              </c:strCache>
            </c:strRef>
          </c:cat>
          <c:val>
            <c:numRef>
              <c:f>'Hình 7. Địa phương'!$D$5:$D$13</c:f>
              <c:numCache>
                <c:formatCode>0.0</c:formatCode>
                <c:ptCount val="9"/>
                <c:pt idx="0">
                  <c:v>40235.734680000001</c:v>
                </c:pt>
                <c:pt idx="1">
                  <c:v>30788.576000000001</c:v>
                </c:pt>
                <c:pt idx="2">
                  <c:v>10499.395</c:v>
                </c:pt>
                <c:pt idx="3">
                  <c:v>12204.294</c:v>
                </c:pt>
                <c:pt idx="4">
                  <c:v>10565.907999999999</c:v>
                </c:pt>
                <c:pt idx="5">
                  <c:v>10980.369000000001</c:v>
                </c:pt>
                <c:pt idx="6">
                  <c:v>10315.036</c:v>
                </c:pt>
                <c:pt idx="7">
                  <c:v>7588.0140000000001</c:v>
                </c:pt>
                <c:pt idx="8">
                  <c:v>6968.5950000000003</c:v>
                </c:pt>
              </c:numCache>
            </c:numRef>
          </c:val>
          <c:extLst>
            <c:ext xmlns:c16="http://schemas.microsoft.com/office/drawing/2014/chart" uri="{C3380CC4-5D6E-409C-BE32-E72D297353CC}">
              <c16:uniqueId val="{00000000-E0C6-43AC-B8A7-9AA6EEA84589}"/>
            </c:ext>
          </c:extLst>
        </c:ser>
        <c:ser>
          <c:idx val="1"/>
          <c:order val="1"/>
          <c:tx>
            <c:strRef>
              <c:f>'Hình 7. Địa phương'!$E$4</c:f>
              <c:strCache>
                <c:ptCount val="1"/>
                <c:pt idx="0">
                  <c:v>7 tháng năm 2025</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C6-43AC-B8A7-9AA6EEA8458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TP. Hồ Chí Minh</c:v>
                </c:pt>
                <c:pt idx="1">
                  <c:v>Hà Nội</c:v>
                </c:pt>
                <c:pt idx="2">
                  <c:v>Ninh Bình</c:v>
                </c:pt>
                <c:pt idx="3">
                  <c:v>Hưng Yên</c:v>
                </c:pt>
                <c:pt idx="4">
                  <c:v>Hải Phòng</c:v>
                </c:pt>
                <c:pt idx="5">
                  <c:v>Phú Thọ</c:v>
                </c:pt>
                <c:pt idx="6">
                  <c:v>Cần Thơ</c:v>
                </c:pt>
                <c:pt idx="7">
                  <c:v>Đồng Nai</c:v>
                </c:pt>
                <c:pt idx="8">
                  <c:v>Đà Nẵng</c:v>
                </c:pt>
              </c:strCache>
            </c:strRef>
          </c:cat>
          <c:val>
            <c:numRef>
              <c:f>'Hình 7. Địa phương'!$E$5:$E$13</c:f>
              <c:numCache>
                <c:formatCode>0.0</c:formatCode>
                <c:ptCount val="9"/>
                <c:pt idx="0">
                  <c:v>61414.591</c:v>
                </c:pt>
                <c:pt idx="1">
                  <c:v>41931.987000000001</c:v>
                </c:pt>
                <c:pt idx="2">
                  <c:v>18565.043000000001</c:v>
                </c:pt>
                <c:pt idx="3">
                  <c:v>17348.260129999999</c:v>
                </c:pt>
                <c:pt idx="4">
                  <c:v>14650.726000000001</c:v>
                </c:pt>
                <c:pt idx="5">
                  <c:v>12591.239</c:v>
                </c:pt>
                <c:pt idx="6">
                  <c:v>11238.058000000001</c:v>
                </c:pt>
                <c:pt idx="7">
                  <c:v>10684.269</c:v>
                </c:pt>
                <c:pt idx="8">
                  <c:v>7818.3119999999999</c:v>
                </c:pt>
              </c:numCache>
            </c:numRef>
          </c:val>
          <c:extLst>
            <c:ext xmlns:c16="http://schemas.microsoft.com/office/drawing/2014/chart" uri="{C3380CC4-5D6E-409C-BE32-E72D297353CC}">
              <c16:uniqueId val="{00000003-E0C6-43AC-B8A7-9AA6EEA84589}"/>
            </c:ext>
          </c:extLst>
        </c:ser>
        <c:dLbls>
          <c:showLegendKey val="0"/>
          <c:showVal val="0"/>
          <c:showCatName val="0"/>
          <c:showSerName val="0"/>
          <c:showPercent val="0"/>
          <c:showBubbleSize val="0"/>
        </c:dLbls>
        <c:gapWidth val="36"/>
        <c:axId val="-1343204400"/>
        <c:axId val="-1343205488"/>
      </c:barChart>
      <c:catAx>
        <c:axId val="-134320440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43205488"/>
        <c:crosses val="autoZero"/>
        <c:auto val="1"/>
        <c:lblAlgn val="ctr"/>
        <c:lblOffset val="100"/>
        <c:noMultiLvlLbl val="0"/>
      </c:catAx>
      <c:valAx>
        <c:axId val="-13432054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43204400"/>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10,13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A84-459B-8AAA-08517181A612}"/>
                </c:ext>
              </c:extLst>
            </c:dLbl>
            <c:dLbl>
              <c:idx val="1"/>
              <c:tx>
                <c:rich>
                  <a:bodyPr/>
                  <a:lstStyle/>
                  <a:p>
                    <a:r>
                      <a:rPr lang="en-US"/>
                      <a:t>5,72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84-459B-8AAA-08517181A612}"/>
                </c:ext>
              </c:extLst>
            </c:dLbl>
            <c:dLbl>
              <c:idx val="2"/>
              <c:tx>
                <c:rich>
                  <a:bodyPr/>
                  <a:lstStyle/>
                  <a:p>
                    <a:r>
                      <a:rPr lang="en-US"/>
                      <a:t>7,94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84-459B-8AAA-08517181A612}"/>
                </c:ext>
              </c:extLst>
            </c:dLbl>
            <c:dLbl>
              <c:idx val="3"/>
              <c:layout>
                <c:manualLayout>
                  <c:x val="-1.9219215583605901E-2"/>
                  <c:y val="-3.819400322405998E-17"/>
                </c:manualLayout>
              </c:layout>
              <c:tx>
                <c:rich>
                  <a:bodyPr/>
                  <a:lstStyle/>
                  <a:p>
                    <a:r>
                      <a:rPr lang="en-US"/>
                      <a:t>11,28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84-459B-8AAA-08517181A612}"/>
                </c:ext>
              </c:extLst>
            </c:dLbl>
            <c:dLbl>
              <c:idx val="4"/>
              <c:tx>
                <c:rich>
                  <a:bodyPr/>
                  <a:lstStyle/>
                  <a:p>
                    <a:r>
                      <a:rPr lang="en-US"/>
                      <a:t>10,03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A84-459B-8AAA-08517181A6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10.128656247170001</c:v>
                </c:pt>
                <c:pt idx="1">
                  <c:v>5.7231274453400003</c:v>
                </c:pt>
                <c:pt idx="2">
                  <c:v>7.9351076316900011</c:v>
                </c:pt>
                <c:pt idx="3">
                  <c:v>11.282456164679999</c:v>
                </c:pt>
                <c:pt idx="4">
                  <c:v>10.034921278679999</c:v>
                </c:pt>
              </c:numCache>
            </c:numRef>
          </c:val>
          <c:extLst>
            <c:ext xmlns:c16="http://schemas.microsoft.com/office/drawing/2014/chart" uri="{C3380CC4-5D6E-409C-BE32-E72D297353CC}">
              <c16:uniqueId val="{00000005-2A84-459B-8AAA-08517181A612}"/>
            </c:ext>
          </c:extLst>
        </c:ser>
        <c:ser>
          <c:idx val="1"/>
          <c:order val="1"/>
          <c:tx>
            <c:strRef>
              <c:f>'04. FDI SO SANH '!$A$17</c:f>
              <c:strCache>
                <c:ptCount val="1"/>
                <c:pt idx="0">
                  <c:v>    Đăng ký điều chỉnh</c:v>
                </c:pt>
              </c:strCache>
            </c:strRef>
          </c:tx>
          <c:invertIfNegative val="0"/>
          <c:dLbls>
            <c:dLbl>
              <c:idx val="0"/>
              <c:tx>
                <c:rich>
                  <a:bodyPr/>
                  <a:lstStyle/>
                  <a:p>
                    <a:r>
                      <a:rPr lang="en-US"/>
                      <a:t>4,54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A84-459B-8AAA-08517181A612}"/>
                </c:ext>
              </c:extLst>
            </c:dLbl>
            <c:dLbl>
              <c:idx val="1"/>
              <c:layout>
                <c:manualLayout>
                  <c:x val="3.6036029219260982E-2"/>
                  <c:y val="-7.638800644811996E-17"/>
                </c:manualLayout>
              </c:layout>
              <c:tx>
                <c:rich>
                  <a:bodyPr/>
                  <a:lstStyle/>
                  <a:p>
                    <a:r>
                      <a:rPr lang="en-US"/>
                      <a:t>7,24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A84-459B-8AAA-08517181A612}"/>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4,16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2A84-459B-8AAA-08517181A612}"/>
                </c:ext>
              </c:extLst>
            </c:dLbl>
            <c:dLbl>
              <c:idx val="3"/>
              <c:layout>
                <c:manualLayout>
                  <c:x val="-9.6096077918029297E-3"/>
                  <c:y val="-8.3333333333333714E-3"/>
                </c:manualLayout>
              </c:layout>
              <c:tx>
                <c:rich>
                  <a:bodyPr/>
                  <a:lstStyle/>
                  <a:p>
                    <a:r>
                      <a:rPr lang="en-US"/>
                      <a:t>5,11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A84-459B-8AAA-08517181A612}"/>
                </c:ext>
              </c:extLst>
            </c:dLbl>
            <c:dLbl>
              <c:idx val="4"/>
              <c:tx>
                <c:rich>
                  <a:bodyPr/>
                  <a:lstStyle/>
                  <a:p>
                    <a:r>
                      <a:rPr lang="en-US"/>
                      <a:t>9,99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A84-459B-8AAA-08517181A6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4.5435954089403134</c:v>
                </c:pt>
                <c:pt idx="1">
                  <c:v>7.2401363627898405</c:v>
                </c:pt>
                <c:pt idx="2">
                  <c:v>4.1595451423817176</c:v>
                </c:pt>
                <c:pt idx="3">
                  <c:v>5.1131323345593191</c:v>
                </c:pt>
                <c:pt idx="4">
                  <c:v>9.9857213168104622</c:v>
                </c:pt>
              </c:numCache>
            </c:numRef>
          </c:val>
          <c:extLst>
            <c:ext xmlns:c16="http://schemas.microsoft.com/office/drawing/2014/chart" uri="{C3380CC4-5D6E-409C-BE32-E72D297353CC}">
              <c16:uniqueId val="{0000000B-2A84-459B-8AAA-08517181A612}"/>
            </c:ext>
          </c:extLst>
        </c:ser>
        <c:ser>
          <c:idx val="2"/>
          <c:order val="2"/>
          <c:tx>
            <c:strRef>
              <c:f>'04. FDI SO SANH '!$A$18</c:f>
              <c:strCache>
                <c:ptCount val="1"/>
                <c:pt idx="0">
                  <c:v>Góp vốn, mua cổ phần</c:v>
                </c:pt>
              </c:strCache>
            </c:strRef>
          </c:tx>
          <c:invertIfNegative val="0"/>
          <c:dLbls>
            <c:dLbl>
              <c:idx val="0"/>
              <c:tx>
                <c:rich>
                  <a:bodyPr/>
                  <a:lstStyle/>
                  <a:p>
                    <a:r>
                      <a:rPr lang="en-US"/>
                      <a:t>2,05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A84-459B-8AAA-08517181A612}"/>
                </c:ext>
              </c:extLst>
            </c:dLbl>
            <c:dLbl>
              <c:idx val="1"/>
              <c:tx>
                <c:rich>
                  <a:bodyPr/>
                  <a:lstStyle/>
                  <a:p>
                    <a:r>
                      <a:rPr lang="en-US" baseline="0"/>
                      <a:t>2,58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A84-459B-8AAA-08517181A612}"/>
                </c:ext>
              </c:extLst>
            </c:dLbl>
            <c:dLbl>
              <c:idx val="2"/>
              <c:layout>
                <c:manualLayout>
                  <c:x val="-1.2012009739753662E-2"/>
                  <c:y val="-3.819400322405998E-17"/>
                </c:manualLayout>
              </c:layout>
              <c:tx>
                <c:rich>
                  <a:bodyPr/>
                  <a:lstStyle/>
                  <a:p>
                    <a:r>
                      <a:rPr lang="en-US"/>
                      <a:t>4,14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A84-459B-8AAA-08517181A612}"/>
                </c:ext>
              </c:extLst>
            </c:dLbl>
            <c:dLbl>
              <c:idx val="3"/>
              <c:layout>
                <c:manualLayout>
                  <c:x val="1.2012009739753573E-2"/>
                  <c:y val="-8.3333333333333714E-3"/>
                </c:manualLayout>
              </c:layout>
              <c:tx>
                <c:rich>
                  <a:bodyPr wrap="square" lIns="38100" tIns="19050" rIns="38100" bIns="19050" anchor="ctr">
                    <a:noAutofit/>
                  </a:bodyPr>
                  <a:lstStyle/>
                  <a:p>
                    <a:pPr>
                      <a:defRPr/>
                    </a:pPr>
                    <a:r>
                      <a:rPr lang="en-US"/>
                      <a:t>2,54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2A84-459B-8AAA-08517181A612}"/>
                </c:ext>
              </c:extLst>
            </c:dLbl>
            <c:dLbl>
              <c:idx val="4"/>
              <c:layout>
                <c:manualLayout>
                  <c:x val="2.4024019479507323E-2"/>
                  <c:y val="0"/>
                </c:manualLayout>
              </c:layout>
              <c:tx>
                <c:rich>
                  <a:bodyPr/>
                  <a:lstStyle/>
                  <a:p>
                    <a:r>
                      <a:rPr lang="en-US"/>
                      <a:t>4,07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A84-459B-8AAA-08517181A6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2.0512653665559628</c:v>
                </c:pt>
                <c:pt idx="1">
                  <c:v>2.5781297313499998</c:v>
                </c:pt>
                <c:pt idx="2">
                  <c:v>4.1441226404099982</c:v>
                </c:pt>
                <c:pt idx="3">
                  <c:v>2.5300721126800005</c:v>
                </c:pt>
                <c:pt idx="4">
                  <c:v>4.0732517022299994</c:v>
                </c:pt>
              </c:numCache>
            </c:numRef>
          </c:val>
          <c:extLst>
            <c:ext xmlns:c16="http://schemas.microsoft.com/office/drawing/2014/chart" uri="{C3380CC4-5D6E-409C-BE32-E72D297353CC}">
              <c16:uniqueId val="{00000011-2A84-459B-8AAA-08517181A612}"/>
            </c:ext>
          </c:extLst>
        </c:ser>
        <c:dLbls>
          <c:showLegendKey val="0"/>
          <c:showVal val="0"/>
          <c:showCatName val="0"/>
          <c:showSerName val="0"/>
          <c:showPercent val="0"/>
          <c:showBubbleSize val="0"/>
        </c:dLbls>
        <c:gapWidth val="150"/>
        <c:overlap val="100"/>
        <c:axId val="-1343208208"/>
        <c:axId val="-1343207664"/>
      </c:barChart>
      <c:catAx>
        <c:axId val="-1343208208"/>
        <c:scaling>
          <c:orientation val="minMax"/>
        </c:scaling>
        <c:delete val="0"/>
        <c:axPos val="l"/>
        <c:numFmt formatCode="General" sourceLinked="1"/>
        <c:majorTickMark val="out"/>
        <c:minorTickMark val="none"/>
        <c:tickLblPos val="nextTo"/>
        <c:crossAx val="-1343207664"/>
        <c:crosses val="autoZero"/>
        <c:auto val="1"/>
        <c:lblAlgn val="ctr"/>
        <c:lblOffset val="100"/>
        <c:noMultiLvlLbl val="0"/>
      </c:catAx>
      <c:valAx>
        <c:axId val="-1343207664"/>
        <c:scaling>
          <c:orientation val="minMax"/>
        </c:scaling>
        <c:delete val="0"/>
        <c:axPos val="b"/>
        <c:majorGridlines/>
        <c:numFmt formatCode="0.00" sourceLinked="1"/>
        <c:majorTickMark val="out"/>
        <c:minorTickMark val="none"/>
        <c:tickLblPos val="nextTo"/>
        <c:crossAx val="-134320820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10.5</c:v>
                </c:pt>
                <c:pt idx="1">
                  <c:v>11.487</c:v>
                </c:pt>
                <c:pt idx="2">
                  <c:v>11.58</c:v>
                </c:pt>
                <c:pt idx="3">
                  <c:v>12.55</c:v>
                </c:pt>
                <c:pt idx="4">
                  <c:v>13.6</c:v>
                </c:pt>
              </c:numCache>
            </c:numRef>
          </c:val>
          <c:extLst>
            <c:ext xmlns:c16="http://schemas.microsoft.com/office/drawing/2014/chart" uri="{C3380CC4-5D6E-409C-BE32-E72D297353CC}">
              <c16:uniqueId val="{00000000-8C2D-4510-997B-A33512CD4A07}"/>
            </c:ext>
          </c:extLst>
        </c:ser>
        <c:dLbls>
          <c:showLegendKey val="0"/>
          <c:showVal val="0"/>
          <c:showCatName val="0"/>
          <c:showSerName val="0"/>
          <c:showPercent val="0"/>
          <c:showBubbleSize val="0"/>
        </c:dLbls>
        <c:gapWidth val="219"/>
        <c:overlap val="-27"/>
        <c:axId val="-1916517632"/>
        <c:axId val="-1916513824"/>
      </c:barChart>
      <c:catAx>
        <c:axId val="-191651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6513824"/>
        <c:crosses val="autoZero"/>
        <c:auto val="1"/>
        <c:lblAlgn val="ctr"/>
        <c:lblOffset val="100"/>
        <c:noMultiLvlLbl val="0"/>
      </c:catAx>
      <c:valAx>
        <c:axId val="-19165138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1651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35</c:v>
                </c:pt>
                <c:pt idx="1">
                  <c:v>85.1</c:v>
                </c:pt>
                <c:pt idx="2">
                  <c:v>22.2</c:v>
                </c:pt>
                <c:pt idx="3">
                  <c:v>16.3</c:v>
                </c:pt>
                <c:pt idx="4">
                  <c:v>32.200000000000003</c:v>
                </c:pt>
                <c:pt idx="5">
                  <c:v>15.1</c:v>
                </c:pt>
              </c:numCache>
            </c:numRef>
          </c:val>
          <c:extLst>
            <c:ext xmlns:c16="http://schemas.microsoft.com/office/drawing/2014/chart" uri="{C3380CC4-5D6E-409C-BE32-E72D297353CC}">
              <c16:uniqueId val="{00000000-962D-407C-BCB1-90ECE357CC6B}"/>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101.5</c:v>
                </c:pt>
                <c:pt idx="1">
                  <c:v>10.5</c:v>
                </c:pt>
                <c:pt idx="2">
                  <c:v>30.7</c:v>
                </c:pt>
                <c:pt idx="3">
                  <c:v>33.700000000000003</c:v>
                </c:pt>
                <c:pt idx="4">
                  <c:v>9.9</c:v>
                </c:pt>
                <c:pt idx="5">
                  <c:v>13.8</c:v>
                </c:pt>
              </c:numCache>
            </c:numRef>
          </c:val>
          <c:extLst>
            <c:ext xmlns:c16="http://schemas.microsoft.com/office/drawing/2014/chart" uri="{C3380CC4-5D6E-409C-BE32-E72D297353CC}">
              <c16:uniqueId val="{00000001-962D-407C-BCB1-90ECE357CC6B}"/>
            </c:ext>
          </c:extLst>
        </c:ser>
        <c:dLbls>
          <c:showLegendKey val="0"/>
          <c:showVal val="0"/>
          <c:showCatName val="0"/>
          <c:showSerName val="0"/>
          <c:showPercent val="0"/>
          <c:showBubbleSize val="0"/>
        </c:dLbls>
        <c:gapWidth val="70"/>
        <c:overlap val="100"/>
        <c:axId val="-1916511104"/>
        <c:axId val="-1916511648"/>
      </c:barChart>
      <c:catAx>
        <c:axId val="-19165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16511648"/>
        <c:crosses val="autoZero"/>
        <c:auto val="1"/>
        <c:lblAlgn val="ctr"/>
        <c:lblOffset val="100"/>
        <c:noMultiLvlLbl val="0"/>
      </c:catAx>
      <c:valAx>
        <c:axId val="-1916511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1651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DB-4DDD-A67B-51183EE059D8}"/>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DB-4DDD-A67B-51183EE059D8}"/>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DB-4DDD-A67B-51183EE059D8}"/>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DB-4DDD-A67B-51183EE059D8}"/>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DB-4DDD-A67B-51183EE059D8}"/>
                </c:ext>
              </c:extLst>
            </c:dLbl>
            <c:dLbl>
              <c:idx val="5"/>
              <c:layout>
                <c:manualLayout>
                  <c:x val="-1.7917235573714954E-2"/>
                  <c:y val="8.13841127001981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DB-4DDD-A67B-51183EE059D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7.1</c:v>
                </c:pt>
                <c:pt idx="1">
                  <c:v>27.8</c:v>
                </c:pt>
                <c:pt idx="2">
                  <c:v>3.9</c:v>
                </c:pt>
                <c:pt idx="3">
                  <c:v>11.8</c:v>
                </c:pt>
                <c:pt idx="4">
                  <c:v>8.4</c:v>
                </c:pt>
                <c:pt idx="5">
                  <c:v>10</c:v>
                </c:pt>
              </c:numCache>
            </c:numRef>
          </c:val>
          <c:extLst>
            <c:ext xmlns:c16="http://schemas.microsoft.com/office/drawing/2014/chart" uri="{C3380CC4-5D6E-409C-BE32-E72D297353CC}">
              <c16:uniqueId val="{00000006-ACDB-4DDD-A67B-51183EE059D8}"/>
            </c:ext>
          </c:extLst>
        </c:ser>
        <c:ser>
          <c:idx val="1"/>
          <c:order val="1"/>
          <c:tx>
            <c:v>Nhập khẩu hàng hóa</c:v>
          </c:tx>
          <c:spPr>
            <a:solidFill>
              <a:srgbClr val="7030A0"/>
            </a:solidFill>
            <a:ln w="3175">
              <a:solidFill>
                <a:srgbClr val="7030A0"/>
              </a:solidFill>
            </a:ln>
            <a:effectLst/>
          </c:spPr>
          <c:invertIfNegative val="0"/>
          <c:dLbls>
            <c:dLbl>
              <c:idx val="0"/>
              <c:layout>
                <c:manualLayout>
                  <c:x val="-1.0116792767266543E-2"/>
                  <c:y val="5.4421768707482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DB-4DDD-A67B-51183EE059D8}"/>
                </c:ext>
              </c:extLst>
            </c:dLbl>
            <c:dLbl>
              <c:idx val="1"/>
              <c:layout>
                <c:manualLayout>
                  <c:x val="1.2126189571805441E-2"/>
                  <c:y val="1.9024050565107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DB-4DDD-A67B-51183EE059D8}"/>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DB-4DDD-A67B-51183EE059D8}"/>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DB-4DDD-A67B-51183EE059D8}"/>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DB-4DDD-A67B-51183EE059D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27.1</c:v>
                </c:pt>
                <c:pt idx="1">
                  <c:v>22.6</c:v>
                </c:pt>
                <c:pt idx="2">
                  <c:v>15.5</c:v>
                </c:pt>
                <c:pt idx="3" formatCode="0.0">
                  <c:v>5.3</c:v>
                </c:pt>
                <c:pt idx="4" formatCode="0.0">
                  <c:v>5.2</c:v>
                </c:pt>
                <c:pt idx="5" formatCode="0.0">
                  <c:v>9.1</c:v>
                </c:pt>
              </c:numCache>
            </c:numRef>
          </c:val>
          <c:extLst>
            <c:ext xmlns:c16="http://schemas.microsoft.com/office/drawing/2014/chart" uri="{C3380CC4-5D6E-409C-BE32-E72D297353CC}">
              <c16:uniqueId val="{0000000C-ACDB-4DDD-A67B-51183EE059D8}"/>
            </c:ext>
          </c:extLst>
        </c:ser>
        <c:dLbls>
          <c:showLegendKey val="0"/>
          <c:showVal val="0"/>
          <c:showCatName val="0"/>
          <c:showSerName val="0"/>
          <c:showPercent val="0"/>
          <c:showBubbleSize val="0"/>
        </c:dLbls>
        <c:gapWidth val="100"/>
        <c:overlap val="-27"/>
        <c:axId val="-1916510560"/>
        <c:axId val="-1916517088"/>
      </c:barChart>
      <c:catAx>
        <c:axId val="-1916510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916517088"/>
        <c:crosses val="autoZero"/>
        <c:auto val="0"/>
        <c:lblAlgn val="ctr"/>
        <c:lblOffset val="100"/>
        <c:noMultiLvlLbl val="0"/>
      </c:catAx>
      <c:valAx>
        <c:axId val="-191651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16510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'Biểu đồ 1'!$B$1</c:f>
              <c:strCache>
                <c:ptCount val="1"/>
                <c:pt idx="0">
                  <c:v>Hình 1. Tốc độ tăng CPI tháng 7/2025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75B3-4185-8953-A13A42632291}"/>
              </c:ext>
            </c:extLst>
          </c:dPt>
          <c:dPt>
            <c:idx val="1"/>
            <c:invertIfNegative val="0"/>
            <c:bubble3D val="0"/>
            <c:spPr>
              <a:solidFill>
                <a:srgbClr val="FF0000"/>
              </a:solidFill>
              <a:ln>
                <a:noFill/>
              </a:ln>
              <a:effectLst/>
            </c:spPr>
            <c:extLst>
              <c:ext xmlns:c16="http://schemas.microsoft.com/office/drawing/2014/chart" uri="{C3380CC4-5D6E-409C-BE32-E72D297353CC}">
                <c16:uniqueId val="{00000003-75B3-4185-8953-A13A42632291}"/>
              </c:ext>
            </c:extLst>
          </c:dPt>
          <c:dPt>
            <c:idx val="2"/>
            <c:invertIfNegative val="0"/>
            <c:bubble3D val="0"/>
            <c:spPr>
              <a:solidFill>
                <a:srgbClr val="FF0000"/>
              </a:solidFill>
              <a:ln>
                <a:noFill/>
              </a:ln>
              <a:effectLst/>
            </c:spPr>
            <c:extLst>
              <c:ext xmlns:c16="http://schemas.microsoft.com/office/drawing/2014/chart" uri="{C3380CC4-5D6E-409C-BE32-E72D297353CC}">
                <c16:uniqueId val="{00000005-75B3-4185-8953-A13A42632291}"/>
              </c:ext>
            </c:extLst>
          </c:dPt>
          <c:dPt>
            <c:idx val="3"/>
            <c:invertIfNegative val="0"/>
            <c:bubble3D val="0"/>
            <c:spPr>
              <a:solidFill>
                <a:srgbClr val="FF0000"/>
              </a:solidFill>
              <a:ln>
                <a:noFill/>
              </a:ln>
              <a:effectLst/>
            </c:spPr>
            <c:extLst>
              <c:ext xmlns:c16="http://schemas.microsoft.com/office/drawing/2014/chart" uri="{C3380CC4-5D6E-409C-BE32-E72D297353CC}">
                <c16:uniqueId val="{00000007-75B3-4185-8953-A13A42632291}"/>
              </c:ext>
            </c:extLst>
          </c:dPt>
          <c:dPt>
            <c:idx val="4"/>
            <c:invertIfNegative val="0"/>
            <c:bubble3D val="0"/>
            <c:spPr>
              <a:solidFill>
                <a:srgbClr val="FF0000"/>
              </a:solidFill>
              <a:ln>
                <a:noFill/>
              </a:ln>
              <a:effectLst/>
            </c:spPr>
            <c:extLst>
              <c:ext xmlns:c16="http://schemas.microsoft.com/office/drawing/2014/chart" uri="{C3380CC4-5D6E-409C-BE32-E72D297353CC}">
                <c16:uniqueId val="{00000009-75B3-4185-8953-A13A42632291}"/>
              </c:ext>
            </c:extLst>
          </c:dPt>
          <c:dPt>
            <c:idx val="5"/>
            <c:invertIfNegative val="0"/>
            <c:bubble3D val="0"/>
            <c:spPr>
              <a:solidFill>
                <a:srgbClr val="FF0000"/>
              </a:solidFill>
              <a:ln>
                <a:noFill/>
              </a:ln>
              <a:effectLst/>
            </c:spPr>
            <c:extLst>
              <c:ext xmlns:c16="http://schemas.microsoft.com/office/drawing/2014/chart" uri="{C3380CC4-5D6E-409C-BE32-E72D297353CC}">
                <c16:uniqueId val="{0000000B-75B3-4185-8953-A13A42632291}"/>
              </c:ext>
            </c:extLst>
          </c:dPt>
          <c:dPt>
            <c:idx val="6"/>
            <c:invertIfNegative val="0"/>
            <c:bubble3D val="0"/>
            <c:spPr>
              <a:solidFill>
                <a:srgbClr val="FF0000"/>
              </a:solidFill>
              <a:ln>
                <a:noFill/>
              </a:ln>
              <a:effectLst/>
            </c:spPr>
            <c:extLst>
              <c:ext xmlns:c16="http://schemas.microsoft.com/office/drawing/2014/chart" uri="{C3380CC4-5D6E-409C-BE32-E72D297353CC}">
                <c16:uniqueId val="{0000000D-75B3-4185-8953-A13A42632291}"/>
              </c:ext>
            </c:extLst>
          </c:dPt>
          <c:dPt>
            <c:idx val="7"/>
            <c:invertIfNegative val="0"/>
            <c:bubble3D val="0"/>
            <c:spPr>
              <a:solidFill>
                <a:srgbClr val="FF0000"/>
              </a:solidFill>
              <a:ln>
                <a:noFill/>
              </a:ln>
              <a:effectLst/>
            </c:spPr>
            <c:extLst>
              <c:ext xmlns:c16="http://schemas.microsoft.com/office/drawing/2014/chart" uri="{C3380CC4-5D6E-409C-BE32-E72D297353CC}">
                <c16:uniqueId val="{0000000F-75B3-4185-8953-A13A42632291}"/>
              </c:ext>
            </c:extLst>
          </c:dPt>
          <c:dPt>
            <c:idx val="8"/>
            <c:invertIfNegative val="0"/>
            <c:bubble3D val="0"/>
            <c:spPr>
              <a:solidFill>
                <a:srgbClr val="FF0000"/>
              </a:solidFill>
              <a:ln>
                <a:noFill/>
              </a:ln>
              <a:effectLst/>
            </c:spPr>
            <c:extLst>
              <c:ext xmlns:c16="http://schemas.microsoft.com/office/drawing/2014/chart" uri="{C3380CC4-5D6E-409C-BE32-E72D297353CC}">
                <c16:uniqueId val="{00000011-75B3-4185-8953-A13A42632291}"/>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75B3-4185-8953-A13A42632291}"/>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75B3-4185-8953-A13A42632291}"/>
              </c:ext>
            </c:extLst>
          </c:dPt>
          <c:dPt>
            <c:idx val="11"/>
            <c:invertIfNegative val="0"/>
            <c:bubble3D val="0"/>
            <c:spPr>
              <a:solidFill>
                <a:srgbClr val="00B050"/>
              </a:solidFill>
              <a:ln>
                <a:noFill/>
              </a:ln>
              <a:effectLst/>
            </c:spPr>
            <c:extLst>
              <c:ext xmlns:c16="http://schemas.microsoft.com/office/drawing/2014/chart" uri="{C3380CC4-5D6E-409C-BE32-E72D297353CC}">
                <c16:uniqueId val="{00000017-75B3-4185-8953-A13A4263229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II. Đồ uống và thuốc lá</c:v>
                </c:pt>
                <c:pt idx="3">
                  <c:v>X. Văn hoá, giải trí và du lịch</c:v>
                </c:pt>
                <c:pt idx="4">
                  <c:v>XI. Hàng hoá và dịch vụ khác</c:v>
                </c:pt>
                <c:pt idx="5">
                  <c:v>I. Hàng ăn và dịch vụ ăn uống</c:v>
                </c:pt>
                <c:pt idx="6">
                  <c:v>V. Thiết bị và đồ dùng gia đình</c:v>
                </c:pt>
                <c:pt idx="7">
                  <c:v>III. May mặc, mũ nón, giày dép</c:v>
                </c:pt>
                <c:pt idx="8">
                  <c:v>VI. Thuốc và dịch vụ y tế</c:v>
                </c:pt>
                <c:pt idx="9">
                  <c:v>IX. Giáo dục</c:v>
                </c:pt>
                <c:pt idx="10">
                  <c:v>VIII. Bưu chính viễn thông</c:v>
                </c:pt>
                <c:pt idx="11">
                  <c:v>VII. Giao thông</c:v>
                </c:pt>
              </c:strCache>
            </c:strRef>
          </c:cat>
          <c:val>
            <c:numRef>
              <c:f>'Biểu đồ 1'!$B$2:$B$13</c:f>
              <c:numCache>
                <c:formatCode>0.00%</c:formatCode>
                <c:ptCount val="12"/>
                <c:pt idx="0">
                  <c:v>1.0909999999999798E-3</c:v>
                </c:pt>
                <c:pt idx="1">
                  <c:v>3.5500000000000397E-3</c:v>
                </c:pt>
                <c:pt idx="2">
                  <c:v>2.5169999999999958E-3</c:v>
                </c:pt>
                <c:pt idx="3">
                  <c:v>2.0120000000000003E-3</c:v>
                </c:pt>
                <c:pt idx="4">
                  <c:v>1.8940000000000623E-3</c:v>
                </c:pt>
                <c:pt idx="5">
                  <c:v>1.7529999999999291E-3</c:v>
                </c:pt>
                <c:pt idx="6">
                  <c:v>1.0039999999999338E-3</c:v>
                </c:pt>
                <c:pt idx="7">
                  <c:v>5.8499999999995112E-4</c:v>
                </c:pt>
                <c:pt idx="8">
                  <c:v>3.4800000000004164E-4</c:v>
                </c:pt>
                <c:pt idx="9">
                  <c:v>7.6999999999998185E-5</c:v>
                </c:pt>
                <c:pt idx="10">
                  <c:v>-1.4650000000000318E-3</c:v>
                </c:pt>
                <c:pt idx="11">
                  <c:v>-4.8409999999999799E-3</c:v>
                </c:pt>
              </c:numCache>
            </c:numRef>
          </c:val>
          <c:extLst>
            <c:ext xmlns:c16="http://schemas.microsoft.com/office/drawing/2014/chart" uri="{C3380CC4-5D6E-409C-BE32-E72D297353CC}">
              <c16:uniqueId val="{00000018-75B3-4185-8953-A13A42632291}"/>
            </c:ext>
          </c:extLst>
        </c:ser>
        <c:dLbls>
          <c:showLegendKey val="0"/>
          <c:showVal val="0"/>
          <c:showCatName val="0"/>
          <c:showSerName val="0"/>
          <c:showPercent val="0"/>
          <c:showBubbleSize val="0"/>
        </c:dLbls>
        <c:gapWidth val="166"/>
        <c:axId val="-1851758464"/>
        <c:axId val="-1851757376"/>
      </c:barChart>
      <c:catAx>
        <c:axId val="-185175846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1757376"/>
        <c:crosses val="autoZero"/>
        <c:auto val="1"/>
        <c:lblAlgn val="ctr"/>
        <c:lblOffset val="100"/>
        <c:noMultiLvlLbl val="0"/>
      </c:catAx>
      <c:valAx>
        <c:axId val="-18517573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85175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0.20491</cdr:x>
      <cdr:y>0.12744</cdr:y>
    </cdr:from>
    <cdr:to>
      <cdr:x>0.29271</cdr:x>
      <cdr:y>0.18519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167918" y="408587"/>
          <a:ext cx="500439" cy="185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52,6%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0.52707</cdr:y>
    </cdr:from>
    <cdr:to>
      <cdr:x>0.79909</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1762125"/>
          <a:ext cx="446007" cy="3450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8,9%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0.2014</cdr:x>
      <cdr:y>0.1423</cdr:y>
    </cdr:from>
    <cdr:to>
      <cdr:x>0.22058</cdr:x>
      <cdr:y>0.17771</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145850" y="458346"/>
          <a:ext cx="113528" cy="1093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0.27721</cdr:x>
      <cdr:y>0.29345</cdr:y>
    </cdr:from>
    <cdr:to>
      <cdr:x>0.36926</cdr:x>
      <cdr:y>0.4202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647625" y="981075"/>
          <a:ext cx="547109" cy="4237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0.35424</cdr:x>
      <cdr:y>0.50597</cdr:y>
    </cdr:from>
    <cdr:to>
      <cdr:x>0.45181</cdr:x>
      <cdr:y>0.60609</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56811" y="2021005"/>
          <a:ext cx="1034743" cy="3999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76,8%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0.6396</cdr:x>
      <cdr:y>0.54321</cdr:y>
    </cdr:from>
    <cdr:to>
      <cdr:x>0.73717</cdr:x>
      <cdr:y>0.61912</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6783034" y="2169733"/>
          <a:ext cx="1034743" cy="3032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14</a:t>
          </a:r>
          <a:r>
            <a:rPr lang="en-US" sz="800">
              <a:solidFill>
                <a:sysClr val="windowText" lastClr="000000"/>
              </a:solidFill>
              <a:latin typeface="Arial" panose="020B0604020202020204" pitchFamily="34" charset="0"/>
              <a:cs typeface="Arial" panose="020B0604020202020204" pitchFamily="34" charset="0"/>
            </a:rPr>
            <a:t>,7%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40,8%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0.90319</cdr:x>
      <cdr:y>0.57465</cdr:y>
    </cdr:from>
    <cdr:to>
      <cdr:x>1</cdr:x>
      <cdr:y>0.6333</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147953" y="1842381"/>
          <a:ext cx="551807" cy="1880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0.27227</cdr:x>
      <cdr:y>0.29824</cdr:y>
    </cdr:from>
    <cdr:to>
      <cdr:x>0.29145</cdr:x>
      <cdr:y>0.33365</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616057" y="999278"/>
          <a:ext cx="118385"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0.34091</cdr:x>
      <cdr:y>0.52396</cdr:y>
    </cdr:from>
    <cdr:to>
      <cdr:x>0.36009</cdr:x>
      <cdr:y>0.55938</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46362" y="2061895"/>
          <a:ext cx="141439"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0.90125</cdr:x>
      <cdr:y>0.58927</cdr:y>
    </cdr:from>
    <cdr:to>
      <cdr:x>0.92043</cdr:x>
      <cdr:y>0.62468</cdr:y>
    </cdr:to>
    <cdr:sp macro="" textlink="">
      <cdr:nvSpPr>
        <cdr:cNvPr id="3" name="Arrow: Right 2">
          <a:extLst xmlns:a="http://schemas.openxmlformats.org/drawingml/2006/main">
            <a:ext uri="{FF2B5EF4-FFF2-40B4-BE49-F238E27FC236}">
              <a16:creationId xmlns:a16="http://schemas.microsoft.com/office/drawing/2014/main" id="{7E508EF3-CAC5-316D-80D6-EE89FCCD29DD}"/>
            </a:ext>
          </a:extLst>
        </cdr:cNvPr>
        <cdr:cNvSpPr/>
      </cdr:nvSpPr>
      <cdr:spPr>
        <a:xfrm xmlns:a="http://schemas.openxmlformats.org/drawingml/2006/main" rot="16200000">
          <a:off x="5134799" y="1891377"/>
          <a:ext cx="113529" cy="1093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0.77482</cdr:x>
      <cdr:y>0.04509</cdr:y>
    </cdr:from>
    <cdr:to>
      <cdr:x>0.98023</cdr:x>
      <cdr:y>0.1151</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095982" y="104384"/>
          <a:ext cx="1085875" cy="1620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24,09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0.7795</cdr:x>
      <cdr:y>0.1611</cdr:y>
    </cdr:from>
    <cdr:to>
      <cdr:x>0.97229</cdr:x>
      <cdr:y>0.23111</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120728" y="372979"/>
          <a:ext cx="1019160" cy="1620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18,93</a:t>
          </a:r>
        </a:p>
      </cdr:txBody>
    </cdr:sp>
  </cdr:relSizeAnchor>
  <cdr:relSizeAnchor xmlns:cdr="http://schemas.openxmlformats.org/drawingml/2006/chartDrawing">
    <cdr:from>
      <cdr:x>0.77019</cdr:x>
      <cdr:y>0.2911</cdr:y>
    </cdr:from>
    <cdr:to>
      <cdr:x>0.9882</cdr:x>
      <cdr:y>0.36111</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071526" y="673968"/>
          <a:ext cx="1152483" cy="1620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16,24</a:t>
          </a:r>
        </a:p>
      </cdr:txBody>
    </cdr:sp>
  </cdr:relSizeAnchor>
  <cdr:relSizeAnchor xmlns:cdr="http://schemas.openxmlformats.org/drawingml/2006/chartDrawing">
    <cdr:from>
      <cdr:x>0.81954</cdr:x>
      <cdr:y>0.43802</cdr:y>
    </cdr:from>
    <cdr:to>
      <cdr:x>0.93305</cdr:x>
      <cdr:y>0.50803</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32415" y="1014117"/>
          <a:ext cx="600057" cy="1620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15,54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0.8266</cdr:x>
      <cdr:y>0.57804</cdr:y>
    </cdr:from>
    <cdr:to>
      <cdr:x>0.92931</cdr:x>
      <cdr:y>0.64805</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69723" y="1338282"/>
          <a:ext cx="542964" cy="1620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26</Pages>
  <Words>7527</Words>
  <Characters>42909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3</cp:revision>
  <cp:lastPrinted>2025-08-05T03:54:00Z</cp:lastPrinted>
  <dcterms:created xsi:type="dcterms:W3CDTF">2025-08-05T14:38:00Z</dcterms:created>
  <dcterms:modified xsi:type="dcterms:W3CDTF">2025-08-05T14:39:00Z</dcterms:modified>
</cp:coreProperties>
</file>