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68" w:type="dxa"/>
        <w:jc w:val="center"/>
        <w:tblLayout w:type="fixed"/>
        <w:tblLook w:val="0000" w:firstRow="0" w:lastRow="0" w:firstColumn="0" w:lastColumn="0" w:noHBand="0" w:noVBand="0"/>
      </w:tblPr>
      <w:tblGrid>
        <w:gridCol w:w="3438"/>
        <w:gridCol w:w="6030"/>
      </w:tblGrid>
      <w:tr w:rsidR="00AE05A0" w:rsidRPr="00C62BC1" w14:paraId="49AD3D46" w14:textId="77777777" w:rsidTr="00267E54">
        <w:trPr>
          <w:trHeight w:val="1276"/>
          <w:jc w:val="center"/>
        </w:trPr>
        <w:tc>
          <w:tcPr>
            <w:tcW w:w="3438" w:type="dxa"/>
          </w:tcPr>
          <w:p w14:paraId="18096528" w14:textId="77777777" w:rsidR="00AE05A0" w:rsidRPr="00C62BC1" w:rsidRDefault="00AE05A0" w:rsidP="00AE05A0">
            <w:pPr>
              <w:jc w:val="center"/>
              <w:rPr>
                <w:spacing w:val="-6"/>
                <w:sz w:val="26"/>
                <w:szCs w:val="26"/>
                <w:lang w:val="en-GB"/>
              </w:rPr>
            </w:pPr>
            <w:r w:rsidRPr="00C62BC1">
              <w:rPr>
                <w:spacing w:val="-6"/>
                <w:sz w:val="26"/>
                <w:szCs w:val="26"/>
                <w:lang w:val="en-GB"/>
              </w:rPr>
              <w:t>BỘ TÀI CHÍNH</w:t>
            </w:r>
          </w:p>
          <w:p w14:paraId="3B7A7BA9" w14:textId="77777777" w:rsidR="00AE05A0" w:rsidRPr="00C62BC1" w:rsidRDefault="00AE05A0" w:rsidP="00AE05A0">
            <w:pPr>
              <w:jc w:val="center"/>
              <w:rPr>
                <w:b/>
                <w:bCs/>
                <w:spacing w:val="-6"/>
                <w:sz w:val="26"/>
                <w:szCs w:val="26"/>
                <w:lang w:val="en-GB"/>
              </w:rPr>
            </w:pPr>
            <w:r w:rsidRPr="00C62BC1">
              <w:rPr>
                <w:b/>
                <w:bCs/>
                <w:spacing w:val="-6"/>
                <w:sz w:val="26"/>
                <w:szCs w:val="26"/>
                <w:lang w:val="en-GB"/>
              </w:rPr>
              <w:t>CỤC THỐNG KÊ</w:t>
            </w:r>
          </w:p>
          <w:p w14:paraId="64E6CAD9" w14:textId="77777777" w:rsidR="00AE05A0" w:rsidRPr="00C62BC1" w:rsidRDefault="00AE05A0" w:rsidP="00AE05A0">
            <w:pPr>
              <w:spacing w:line="144" w:lineRule="auto"/>
              <w:jc w:val="center"/>
              <w:rPr>
                <w:bCs/>
                <w:spacing w:val="-6"/>
                <w:vertAlign w:val="superscript"/>
                <w:lang w:val="en-GB"/>
              </w:rPr>
            </w:pPr>
            <w:r w:rsidRPr="00C62BC1">
              <w:rPr>
                <w:bCs/>
                <w:spacing w:val="-6"/>
                <w:sz w:val="26"/>
                <w:szCs w:val="26"/>
                <w:vertAlign w:val="superscript"/>
                <w:lang w:val="en-GB"/>
              </w:rPr>
              <w:t>________________</w:t>
            </w:r>
          </w:p>
          <w:p w14:paraId="0500D97A" w14:textId="3B859108" w:rsidR="00AE05A0" w:rsidRPr="00C62BC1" w:rsidRDefault="00AE05A0" w:rsidP="00AE05A0">
            <w:pPr>
              <w:spacing w:before="240" w:line="252" w:lineRule="auto"/>
              <w:jc w:val="center"/>
              <w:rPr>
                <w:lang w:val="en-GB"/>
              </w:rPr>
            </w:pPr>
            <w:r w:rsidRPr="00C62BC1">
              <w:rPr>
                <w:lang w:val="en-GB"/>
              </w:rPr>
              <w:t>Số:</w:t>
            </w:r>
            <w:r w:rsidR="00496C77" w:rsidRPr="00C62BC1">
              <w:rPr>
                <w:lang w:val="en-GB"/>
              </w:rPr>
              <w:t xml:space="preserve"> </w:t>
            </w:r>
            <w:r w:rsidR="006C151C">
              <w:rPr>
                <w:lang w:val="en-GB"/>
              </w:rPr>
              <w:t>451</w:t>
            </w:r>
            <w:r w:rsidRPr="00C62BC1">
              <w:rPr>
                <w:lang w:val="en-GB"/>
              </w:rPr>
              <w:t>/BC-CTK</w:t>
            </w:r>
          </w:p>
        </w:tc>
        <w:tc>
          <w:tcPr>
            <w:tcW w:w="6030" w:type="dxa"/>
          </w:tcPr>
          <w:p w14:paraId="0CA3CD5A" w14:textId="77777777" w:rsidR="00AE05A0" w:rsidRPr="00C62BC1" w:rsidRDefault="00AE05A0" w:rsidP="00AE05A0">
            <w:pPr>
              <w:jc w:val="center"/>
              <w:rPr>
                <w:b/>
                <w:bCs/>
                <w:sz w:val="26"/>
                <w:szCs w:val="26"/>
                <w:lang w:val="en-GB"/>
              </w:rPr>
            </w:pPr>
            <w:r w:rsidRPr="00C62BC1">
              <w:rPr>
                <w:b/>
                <w:bCs/>
                <w:sz w:val="26"/>
                <w:szCs w:val="26"/>
                <w:lang w:val="en-GB"/>
              </w:rPr>
              <w:t>CỘNG HÒA XÃ HỘI CHỦ NGHĨA VIỆT NAM</w:t>
            </w:r>
          </w:p>
          <w:p w14:paraId="0309B9BC" w14:textId="77777777" w:rsidR="00AE05A0" w:rsidRPr="00C62BC1" w:rsidRDefault="00AE05A0" w:rsidP="00AE05A0">
            <w:pPr>
              <w:jc w:val="center"/>
              <w:rPr>
                <w:b/>
                <w:bCs/>
                <w:szCs w:val="24"/>
                <w:lang w:val="en-GB"/>
              </w:rPr>
            </w:pPr>
            <w:r w:rsidRPr="00C62BC1">
              <w:rPr>
                <w:b/>
                <w:bCs/>
                <w:szCs w:val="24"/>
                <w:lang w:val="en-GB"/>
              </w:rPr>
              <w:t>Độc lập - Tự do - Hạnh phúc</w:t>
            </w:r>
          </w:p>
          <w:p w14:paraId="27271214" w14:textId="77777777" w:rsidR="00AE05A0" w:rsidRPr="00C62BC1" w:rsidRDefault="00AE05A0" w:rsidP="00AE05A0">
            <w:pPr>
              <w:spacing w:line="144" w:lineRule="auto"/>
              <w:jc w:val="center"/>
              <w:rPr>
                <w:bCs/>
                <w:szCs w:val="24"/>
                <w:vertAlign w:val="superscript"/>
                <w:lang w:val="en-GB"/>
              </w:rPr>
            </w:pPr>
            <w:r w:rsidRPr="00C62BC1">
              <w:rPr>
                <w:bCs/>
                <w:szCs w:val="24"/>
                <w:vertAlign w:val="superscript"/>
                <w:lang w:val="en-GB"/>
              </w:rPr>
              <w:t>______________________________________</w:t>
            </w:r>
          </w:p>
          <w:p w14:paraId="20ED4643" w14:textId="035160A5" w:rsidR="00AE05A0" w:rsidRPr="00C62BC1" w:rsidRDefault="00AE05A0" w:rsidP="00AE05A0">
            <w:pPr>
              <w:spacing w:before="240" w:line="252" w:lineRule="auto"/>
              <w:ind w:hanging="2"/>
              <w:jc w:val="center"/>
              <w:rPr>
                <w:b/>
                <w:bCs/>
                <w:i/>
                <w:iCs/>
                <w:lang w:val="en-GB"/>
              </w:rPr>
            </w:pPr>
            <w:r w:rsidRPr="00C62BC1">
              <w:rPr>
                <w:i/>
                <w:iCs/>
                <w:lang w:val="en-GB"/>
              </w:rPr>
              <w:t xml:space="preserve">Hà Nội, ngày </w:t>
            </w:r>
            <w:r w:rsidR="00254190" w:rsidRPr="00C62BC1">
              <w:rPr>
                <w:i/>
                <w:iCs/>
                <w:lang w:val="en-GB"/>
              </w:rPr>
              <w:t>0</w:t>
            </w:r>
            <w:r w:rsidR="00BB37F6" w:rsidRPr="00C62BC1">
              <w:rPr>
                <w:i/>
                <w:iCs/>
                <w:lang w:val="en-GB"/>
              </w:rPr>
              <w:t>6</w:t>
            </w:r>
            <w:r w:rsidR="00254190" w:rsidRPr="00C62BC1">
              <w:rPr>
                <w:i/>
                <w:iCs/>
                <w:lang w:val="en-GB"/>
              </w:rPr>
              <w:t xml:space="preserve"> </w:t>
            </w:r>
            <w:r w:rsidRPr="00C62BC1">
              <w:rPr>
                <w:i/>
                <w:iCs/>
                <w:lang w:val="en-GB"/>
              </w:rPr>
              <w:t xml:space="preserve">tháng </w:t>
            </w:r>
            <w:r w:rsidR="00BB37F6" w:rsidRPr="00C62BC1">
              <w:rPr>
                <w:i/>
                <w:iCs/>
                <w:lang w:val="en-GB"/>
              </w:rPr>
              <w:t>1</w:t>
            </w:r>
            <w:r w:rsidR="00EF7A8C" w:rsidRPr="00C62BC1">
              <w:rPr>
                <w:i/>
                <w:iCs/>
                <w:lang w:val="en-GB"/>
              </w:rPr>
              <w:t>2</w:t>
            </w:r>
            <w:r w:rsidRPr="00C62BC1">
              <w:rPr>
                <w:i/>
                <w:iCs/>
                <w:lang w:val="en-GB"/>
              </w:rPr>
              <w:t xml:space="preserve"> năm 2025</w:t>
            </w:r>
          </w:p>
        </w:tc>
      </w:tr>
    </w:tbl>
    <w:p w14:paraId="68E81A84" w14:textId="77777777" w:rsidR="002A7012" w:rsidRPr="00C62BC1" w:rsidRDefault="002A7012" w:rsidP="002A7012">
      <w:pPr>
        <w:jc w:val="center"/>
        <w:rPr>
          <w:b/>
          <w:bCs/>
          <w:sz w:val="24"/>
          <w:szCs w:val="48"/>
        </w:rPr>
      </w:pPr>
    </w:p>
    <w:p w14:paraId="2B4E257A" w14:textId="77777777" w:rsidR="002A7012" w:rsidRPr="00C62BC1" w:rsidRDefault="002A7012" w:rsidP="002A7012">
      <w:pPr>
        <w:jc w:val="center"/>
        <w:rPr>
          <w:b/>
          <w:bCs/>
          <w:sz w:val="40"/>
          <w:szCs w:val="40"/>
        </w:rPr>
      </w:pPr>
      <w:r w:rsidRPr="00C62BC1">
        <w:rPr>
          <w:b/>
          <w:bCs/>
          <w:sz w:val="40"/>
          <w:szCs w:val="40"/>
        </w:rPr>
        <w:t>BÁO CÁO</w:t>
      </w:r>
    </w:p>
    <w:p w14:paraId="700085E5" w14:textId="713D317F" w:rsidR="002A7012" w:rsidRPr="00C62BC1" w:rsidRDefault="002A7012" w:rsidP="002A7012">
      <w:pPr>
        <w:jc w:val="center"/>
        <w:rPr>
          <w:b/>
          <w:bCs/>
          <w:sz w:val="34"/>
          <w:szCs w:val="34"/>
        </w:rPr>
      </w:pPr>
      <w:r w:rsidRPr="00C62BC1">
        <w:rPr>
          <w:b/>
          <w:bCs/>
          <w:sz w:val="34"/>
          <w:szCs w:val="34"/>
        </w:rPr>
        <w:t xml:space="preserve">TÌNH HÌNH KINH TẾ </w:t>
      </w:r>
      <w:r w:rsidRPr="00C62BC1">
        <w:rPr>
          <w:bCs/>
          <w:sz w:val="34"/>
          <w:szCs w:val="34"/>
        </w:rPr>
        <w:t>-</w:t>
      </w:r>
      <w:r w:rsidRPr="00C62BC1">
        <w:rPr>
          <w:b/>
          <w:bCs/>
          <w:sz w:val="34"/>
          <w:szCs w:val="34"/>
        </w:rPr>
        <w:t xml:space="preserve"> XÃ HỘI </w:t>
      </w:r>
      <w:r w:rsidRPr="00C62BC1">
        <w:rPr>
          <w:b/>
          <w:bCs/>
          <w:sz w:val="34"/>
          <w:szCs w:val="34"/>
        </w:rPr>
        <w:br/>
        <w:t xml:space="preserve">THÁNG </w:t>
      </w:r>
      <w:r w:rsidR="00BB37F6" w:rsidRPr="00C62BC1">
        <w:rPr>
          <w:b/>
          <w:bCs/>
          <w:sz w:val="34"/>
          <w:szCs w:val="34"/>
        </w:rPr>
        <w:t xml:space="preserve">MƯỜI </w:t>
      </w:r>
      <w:r w:rsidR="00EF7A8C" w:rsidRPr="00C62BC1">
        <w:rPr>
          <w:b/>
          <w:bCs/>
          <w:sz w:val="34"/>
          <w:szCs w:val="34"/>
        </w:rPr>
        <w:t xml:space="preserve">MỘT </w:t>
      </w:r>
      <w:r w:rsidRPr="00C62BC1">
        <w:rPr>
          <w:b/>
          <w:bCs/>
          <w:sz w:val="34"/>
          <w:szCs w:val="34"/>
        </w:rPr>
        <w:t xml:space="preserve">VÀ </w:t>
      </w:r>
      <w:r w:rsidR="00BB37F6" w:rsidRPr="00C62BC1">
        <w:rPr>
          <w:b/>
          <w:bCs/>
          <w:sz w:val="34"/>
          <w:szCs w:val="34"/>
        </w:rPr>
        <w:t>1</w:t>
      </w:r>
      <w:r w:rsidR="00EF7A8C" w:rsidRPr="00C62BC1">
        <w:rPr>
          <w:b/>
          <w:bCs/>
          <w:sz w:val="34"/>
          <w:szCs w:val="34"/>
        </w:rPr>
        <w:t>1</w:t>
      </w:r>
      <w:r w:rsidRPr="00C62BC1">
        <w:rPr>
          <w:b/>
          <w:bCs/>
          <w:sz w:val="34"/>
          <w:szCs w:val="34"/>
        </w:rPr>
        <w:t xml:space="preserve"> THÁNG NĂM 202</w:t>
      </w:r>
      <w:r w:rsidR="00AE05A0" w:rsidRPr="00C62BC1">
        <w:rPr>
          <w:b/>
          <w:bCs/>
          <w:sz w:val="34"/>
          <w:szCs w:val="34"/>
        </w:rPr>
        <w:t>5</w:t>
      </w:r>
    </w:p>
    <w:p w14:paraId="5F1D9475" w14:textId="77777777" w:rsidR="002A7012" w:rsidRPr="00C62BC1" w:rsidRDefault="002A7012" w:rsidP="002A7012">
      <w:pPr>
        <w:spacing w:before="20"/>
        <w:jc w:val="center"/>
        <w:rPr>
          <w:rFonts w:ascii="Arial" w:hAnsi="Arial" w:cs="Arial"/>
          <w:b/>
          <w:bCs/>
          <w:sz w:val="38"/>
          <w:szCs w:val="52"/>
        </w:rPr>
      </w:pPr>
      <w:r w:rsidRPr="00C62BC1">
        <w:rPr>
          <w:rFonts w:ascii="Arial" w:hAnsi="Arial" w:cs="Arial"/>
          <w:b/>
          <w:bCs/>
          <w:noProof/>
          <w:sz w:val="50"/>
          <w:szCs w:val="52"/>
        </w:rPr>
        <mc:AlternateContent>
          <mc:Choice Requires="wps">
            <w:drawing>
              <wp:anchor distT="0" distB="0" distL="114300" distR="114300" simplePos="0" relativeHeight="251664384" behindDoc="0" locked="0" layoutInCell="1" allowOverlap="1" wp14:anchorId="2107B36E" wp14:editId="3F7B5A07">
                <wp:simplePos x="0" y="0"/>
                <wp:positionH relativeFrom="column">
                  <wp:posOffset>2136140</wp:posOffset>
                </wp:positionH>
                <wp:positionV relativeFrom="paragraph">
                  <wp:posOffset>26035</wp:posOffset>
                </wp:positionV>
                <wp:extent cx="1412875" cy="0"/>
                <wp:effectExtent l="10160" t="6985" r="5715" b="12065"/>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AF00FC" id="_x0000_t32" coordsize="21600,21600" o:spt="32" o:oned="t" path="m,l21600,21600e" filled="f">
                <v:path arrowok="t" fillok="f" o:connecttype="none"/>
                <o:lock v:ext="edit" shapetype="t"/>
              </v:shapetype>
              <v:shape id="AutoShape 4" o:spid="_x0000_s1026" type="#_x0000_t32" style="position:absolute;margin-left:168.2pt;margin-top:2.05pt;width:111.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5PaHgIAADs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8wUqSH&#10;Fj3tvY6RUR7KMxhXgFWltjYkSI/q1Txr+t0hpauOqJZH47eTAd8seCTvXMLFGQiyG75oBjYE8GOt&#10;jo3tAyRUAR1jS063lvCjRxQeszybzB+mGNGrLiHF1dFY5z9z3aMglNh5S0Tb+UorBY3XNothyOHZ&#10;+UCLFFeHEFXpjZAy9l8qNJR4MZ1Mo4PTUrCgDGbOtrtKWnQgYYLiF3MEzb2Z1XvFIljHCVtfZE+E&#10;PMsQXKqAB4kBnYt0HpEfi3Sxnq/n+SifzNajPK3r0dOmykezTfYwrT/VVVVnPwO1LC86wRhXgd11&#10;XLP878bhsjjnQbsN7K0MyXv0WC8ge/1H0rGzoZnnsdhpdtraa8dhQqPxZZvCCtzfQb7f+dUvAAAA&#10;//8DAFBLAwQUAAYACAAAACEA3ixeSdwAAAAHAQAADwAAAGRycy9kb3ducmV2LnhtbEyOwW7CMBBE&#10;75X6D9ZW4lIVJ0AQpHEQqsSBYwGpVxNvk7TxOoodEvj6bnuhx9GM3rxsM9pGXLDztSMF8TQCgVQ4&#10;U1Op4HTcvaxA+KDJ6MYRKriih03++JDp1LiB3vFyCKVgCPlUK6hCaFMpfVGh1X7qWiTuPl1ndeDY&#10;ldJ0emC4beQsipbS6pr4odItvlVYfB96qwB9n8TRdm3L0/42PH/Mbl9De1Rq8jRuX0EEHMN9DL/6&#10;rA45O51dT8aLRsF8vlzwVMEiBsF9kqzWIM5/WeaZ/O+f/wAAAP//AwBQSwECLQAUAAYACAAAACEA&#10;toM4kv4AAADhAQAAEwAAAAAAAAAAAAAAAAAAAAAAW0NvbnRlbnRfVHlwZXNdLnhtbFBLAQItABQA&#10;BgAIAAAAIQA4/SH/1gAAAJQBAAALAAAAAAAAAAAAAAAAAC8BAABfcmVscy8ucmVsc1BLAQItABQA&#10;BgAIAAAAIQA5t5PaHgIAADsEAAAOAAAAAAAAAAAAAAAAAC4CAABkcnMvZTJvRG9jLnhtbFBLAQIt&#10;ABQABgAIAAAAIQDeLF5J3AAAAAcBAAAPAAAAAAAAAAAAAAAAAHgEAABkcnMvZG93bnJldi54bWxQ&#10;SwUGAAAAAAQABADzAAAAgQUAAAAA&#10;"/>
            </w:pict>
          </mc:Fallback>
        </mc:AlternateContent>
      </w:r>
    </w:p>
    <w:p w14:paraId="6A74CD06" w14:textId="77777777" w:rsidR="006D3AD1" w:rsidRPr="00C62BC1" w:rsidRDefault="006D3AD1" w:rsidP="00C62BC1">
      <w:pPr>
        <w:spacing w:after="120" w:line="252" w:lineRule="auto"/>
        <w:ind w:firstLine="720"/>
        <w:jc w:val="both"/>
        <w:rPr>
          <w:b/>
          <w:bCs/>
        </w:rPr>
      </w:pPr>
      <w:r w:rsidRPr="00C62BC1">
        <w:rPr>
          <w:b/>
          <w:bCs/>
        </w:rPr>
        <w:t>1. Sản xuất nông, lâm nghiệp và thủy sản</w:t>
      </w:r>
    </w:p>
    <w:p w14:paraId="12ECA7FB" w14:textId="535EE27C" w:rsidR="00586EE5" w:rsidRPr="00C62BC1" w:rsidRDefault="00586EE5" w:rsidP="00C62BC1">
      <w:pPr>
        <w:spacing w:after="120" w:line="252" w:lineRule="auto"/>
        <w:ind w:firstLine="720"/>
        <w:jc w:val="both"/>
        <w:rPr>
          <w:rFonts w:eastAsiaTheme="minorHAnsi"/>
          <w:i/>
          <w:kern w:val="2"/>
          <w:lang w:val="it-IT"/>
          <w14:ligatures w14:val="standardContextual"/>
        </w:rPr>
      </w:pPr>
      <w:r w:rsidRPr="00C62BC1">
        <w:rPr>
          <w:i/>
          <w:iCs/>
          <w:spacing w:val="-2"/>
        </w:rPr>
        <w:t xml:space="preserve">Sản suất nông nghiệp tháng Mười Một tập trung vào thu hoạch lúa mùa, gieo trồng cây màu vụ đông và chăm sóc, khôi phục sản xuất và đàn gia súc do ảnh hưởng của thiên tai, bão lụt, đặc biệt tại các tỉnh </w:t>
      </w:r>
      <w:r w:rsidR="009F7268" w:rsidRPr="00C62BC1">
        <w:rPr>
          <w:i/>
          <w:iCs/>
          <w:spacing w:val="-2"/>
        </w:rPr>
        <w:t>vùng duyên hải Nam Trung Bộ và Tây Nguyên</w:t>
      </w:r>
      <w:r w:rsidRPr="00C62BC1">
        <w:rPr>
          <w:i/>
          <w:iCs/>
          <w:spacing w:val="-2"/>
        </w:rPr>
        <w:t>. K</w:t>
      </w:r>
      <w:r w:rsidRPr="00C62BC1">
        <w:rPr>
          <w:i/>
        </w:rPr>
        <w:t>hai thác gỗ, nuôi trồng thủy sản ổn định, đảm bảo nguồn nguyên liệu cho chế biến và xuất khẩu. Tuy nhiên, do thời tiết bất lợi nên tiến độ trồng rừng ở một số địa phương chậm, khai thác thủy sản biển giảm.</w:t>
      </w:r>
    </w:p>
    <w:p w14:paraId="1BF4FBF6" w14:textId="77777777" w:rsidR="00586EE5" w:rsidRPr="00C62BC1" w:rsidRDefault="00586EE5" w:rsidP="00C62BC1">
      <w:pPr>
        <w:tabs>
          <w:tab w:val="left" w:pos="284"/>
        </w:tabs>
        <w:spacing w:after="120" w:line="252" w:lineRule="auto"/>
        <w:ind w:firstLine="720"/>
        <w:jc w:val="both"/>
        <w:rPr>
          <w:b/>
          <w:bCs/>
          <w:i/>
          <w:iCs/>
          <w:lang w:val="it-IT"/>
        </w:rPr>
      </w:pPr>
      <w:r w:rsidRPr="00C62BC1">
        <w:rPr>
          <w:b/>
          <w:bCs/>
          <w:i/>
          <w:iCs/>
          <w:lang w:val="it-IT"/>
        </w:rPr>
        <w:t xml:space="preserve">a) Nông nghiệp </w:t>
      </w:r>
    </w:p>
    <w:p w14:paraId="2072D38D" w14:textId="77777777" w:rsidR="00586EE5" w:rsidRPr="00C62BC1" w:rsidRDefault="00586EE5" w:rsidP="00C62BC1">
      <w:pPr>
        <w:spacing w:after="120" w:line="252" w:lineRule="auto"/>
        <w:ind w:firstLine="720"/>
        <w:jc w:val="both"/>
        <w:rPr>
          <w:i/>
          <w:lang w:val="it-IT"/>
        </w:rPr>
      </w:pPr>
      <w:r w:rsidRPr="00C62BC1">
        <w:rPr>
          <w:i/>
          <w:lang w:val="it-IT"/>
        </w:rPr>
        <w:t>Lúa mùa</w:t>
      </w:r>
    </w:p>
    <w:p w14:paraId="702A9120" w14:textId="2B1E55E6" w:rsidR="00586EE5" w:rsidRPr="00C62BC1" w:rsidRDefault="00586EE5" w:rsidP="00C62BC1">
      <w:pPr>
        <w:spacing w:after="120" w:line="252" w:lineRule="auto"/>
        <w:ind w:firstLine="720"/>
        <w:jc w:val="both"/>
        <w:rPr>
          <w:spacing w:val="-2"/>
          <w:lang w:val="it-IT"/>
        </w:rPr>
      </w:pPr>
      <w:r w:rsidRPr="00C62BC1">
        <w:rPr>
          <w:spacing w:val="-2"/>
          <w:lang w:val="it-IT"/>
        </w:rPr>
        <w:t>Tính đến 20/11/2025, cả nước thu hoạch được 1.28</w:t>
      </w:r>
      <w:r w:rsidRPr="00C62BC1">
        <w:rPr>
          <w:spacing w:val="-2"/>
          <w:lang w:val="vi-VN"/>
        </w:rPr>
        <w:t>3</w:t>
      </w:r>
      <w:r w:rsidRPr="00C62BC1">
        <w:rPr>
          <w:spacing w:val="-2"/>
          <w:lang w:val="it-IT"/>
        </w:rPr>
        <w:t>,</w:t>
      </w:r>
      <w:r w:rsidRPr="00C62BC1">
        <w:rPr>
          <w:spacing w:val="-2"/>
          <w:lang w:val="vi-VN"/>
        </w:rPr>
        <w:t>2</w:t>
      </w:r>
      <w:r w:rsidRPr="00C62BC1">
        <w:rPr>
          <w:spacing w:val="-2"/>
          <w:lang w:val="it-IT"/>
        </w:rPr>
        <w:t xml:space="preserve"> nghìn ha lúa mùa, chiếm 83,3% diện tích gieo cấy và bằng 100,2% cùng kỳ năm trước</w:t>
      </w:r>
      <w:r w:rsidRPr="00C62BC1">
        <w:rPr>
          <w:rFonts w:eastAsia="Calibri"/>
          <w:spacing w:val="-2"/>
          <w:lang w:val="it-IT"/>
        </w:rPr>
        <w:t xml:space="preserve">. Trong đó, các địa phương phía Bắc thu hoạch </w:t>
      </w:r>
      <w:r w:rsidRPr="00C62BC1">
        <w:rPr>
          <w:spacing w:val="-2"/>
          <w:lang w:val="it-IT"/>
        </w:rPr>
        <w:t xml:space="preserve">940,3 </w:t>
      </w:r>
      <w:r w:rsidRPr="00C62BC1">
        <w:rPr>
          <w:rFonts w:eastAsia="Calibri"/>
          <w:spacing w:val="-2"/>
          <w:lang w:val="it-IT"/>
        </w:rPr>
        <w:t>nghìn ha,</w:t>
      </w:r>
      <w:r w:rsidRPr="00C62BC1">
        <w:rPr>
          <w:spacing w:val="-2"/>
          <w:lang w:val="it-IT"/>
        </w:rPr>
        <w:t xml:space="preserve"> chiếm 95,7% và</w:t>
      </w:r>
      <w:r w:rsidRPr="00C62BC1">
        <w:rPr>
          <w:rFonts w:eastAsia="Calibri"/>
          <w:spacing w:val="-2"/>
          <w:lang w:val="it-IT"/>
        </w:rPr>
        <w:t xml:space="preserve"> bằng 99,2%</w:t>
      </w:r>
      <w:r w:rsidRPr="00C62BC1">
        <w:rPr>
          <w:spacing w:val="-2"/>
          <w:lang w:val="it-IT"/>
        </w:rPr>
        <w:t>; c</w:t>
      </w:r>
      <w:r w:rsidRPr="00C62BC1">
        <w:rPr>
          <w:rFonts w:eastAsia="Calibri"/>
          <w:spacing w:val="-2"/>
          <w:lang w:val="it-IT"/>
        </w:rPr>
        <w:t xml:space="preserve">ác địa phương phía Nam thu hoạch 342,9 nghìn ha, </w:t>
      </w:r>
      <w:r w:rsidRPr="00C62BC1">
        <w:rPr>
          <w:spacing w:val="-2"/>
          <w:lang w:val="it-IT"/>
        </w:rPr>
        <w:t>chiếm 61,3% và bằng 103,0%. Vụ mùa năm nay thời tiết đầu vụ tương đối thuận lợi cho cây lúa sinh trưởng và phát triển, tuy nhiên tới thời điểm thu hoạch, mưa lớn</w:t>
      </w:r>
      <w:r w:rsidR="00F06679" w:rsidRPr="00C62BC1">
        <w:rPr>
          <w:spacing w:val="-2"/>
          <w:lang w:val="it-IT"/>
        </w:rPr>
        <w:t xml:space="preserve"> do bão gây</w:t>
      </w:r>
      <w:r w:rsidRPr="00C62BC1">
        <w:rPr>
          <w:spacing w:val="-2"/>
          <w:lang w:val="it-IT"/>
        </w:rPr>
        <w:t xml:space="preserve"> ngập lụt tại một số địa phương đã ảnh hưởng đến tiến độ thu hoạch chung của cả nước. Một số địa phương tiến độ thu hoạch vụ mùa năm nay chậm hơn cùng kỳ năm trước: </w:t>
      </w:r>
      <w:r w:rsidRPr="00C62BC1">
        <w:rPr>
          <w:iCs/>
          <w:spacing w:val="-2"/>
          <w:lang w:val="it-IT"/>
        </w:rPr>
        <w:t>Thanh Hóa bằng 93,8%, Ninh Bình bằng 94,7%, Hải Phòng bằng 96,7%</w:t>
      </w:r>
      <w:r w:rsidR="0005300F" w:rsidRPr="00C62BC1">
        <w:rPr>
          <w:rStyle w:val="FootnoteReference"/>
          <w:iCs/>
          <w:spacing w:val="-2"/>
          <w:lang w:val="it-IT"/>
        </w:rPr>
        <w:footnoteReference w:id="1"/>
      </w:r>
      <w:r w:rsidRPr="00C62BC1">
        <w:rPr>
          <w:iCs/>
          <w:spacing w:val="-2"/>
          <w:lang w:val="it-IT"/>
        </w:rPr>
        <w:t>.</w:t>
      </w:r>
    </w:p>
    <w:p w14:paraId="2C0E6EB7" w14:textId="77777777" w:rsidR="00586EE5" w:rsidRPr="00C62BC1" w:rsidRDefault="00586EE5" w:rsidP="00C62BC1">
      <w:pPr>
        <w:spacing w:after="120" w:line="252" w:lineRule="auto"/>
        <w:ind w:firstLine="720"/>
        <w:jc w:val="both"/>
        <w:rPr>
          <w:spacing w:val="2"/>
          <w:lang w:val="it-IT"/>
        </w:rPr>
      </w:pPr>
      <w:r w:rsidRPr="00C62BC1">
        <w:rPr>
          <w:spacing w:val="2"/>
          <w:lang w:val="it-IT"/>
        </w:rPr>
        <w:t>Theo báo cáo của các địa phương, năng suất gieo trồng lúa mùa cả nước năm nay ước đạt 52,4 tạ/ha, tăng 2,2 tạ/ha so vụ mùa năm 2024, trong đó các địa phương phía Bắc ước đạt 50,7 tạ/ha, tăng 3,2 tạ/ha</w:t>
      </w:r>
      <w:r w:rsidRPr="00C62BC1">
        <w:rPr>
          <w:rStyle w:val="FootnoteReference"/>
          <w:lang w:val="it-IT"/>
        </w:rPr>
        <w:footnoteReference w:id="2"/>
      </w:r>
      <w:r w:rsidRPr="00C62BC1">
        <w:rPr>
          <w:spacing w:val="2"/>
          <w:lang w:val="it-IT"/>
        </w:rPr>
        <w:t xml:space="preserve"> (vùng Đồng bằng sông Hồng đạt 55,5 tạ/hạ, tăng 8,0 tạ/ha</w:t>
      </w:r>
      <w:r w:rsidRPr="00C62BC1">
        <w:rPr>
          <w:rStyle w:val="FootnoteReference"/>
          <w:lang w:val="it-IT"/>
        </w:rPr>
        <w:footnoteReference w:id="3"/>
      </w:r>
      <w:r w:rsidRPr="00C62BC1">
        <w:rPr>
          <w:spacing w:val="2"/>
          <w:lang w:val="it-IT"/>
        </w:rPr>
        <w:t>). Năng suất lúa mùa các địa phương phía Nam ước đạt 55,3 tạ/ha, tăng 0,3 tạ/ha so với vụ mùa năm 2024. Sản lượng lúa mùa cả nước ước đạt 8,07 triệu tấn, tăng 314,7 tấn so với vụ mùa năm trước, trong đó miền Bắc ước đạt 4,98 triệu tấn, tăng 243,3 nghìn tấn (Đồng bằng sông Hồng đạt 2,6 triệu tấn, tăng 319,1 nghìn tấn); miền Nam đạt 3,09 triệu tấn, tăng 71,5 nghìn tấn.</w:t>
      </w:r>
    </w:p>
    <w:p w14:paraId="40BA2026" w14:textId="77777777" w:rsidR="00586EE5" w:rsidRPr="00C62BC1" w:rsidRDefault="00586EE5" w:rsidP="00C62BC1">
      <w:pPr>
        <w:spacing w:after="120" w:line="252" w:lineRule="auto"/>
        <w:ind w:firstLine="720"/>
        <w:jc w:val="both"/>
        <w:rPr>
          <w:i/>
          <w:lang w:val="it-IT"/>
        </w:rPr>
      </w:pPr>
      <w:r w:rsidRPr="00C62BC1">
        <w:rPr>
          <w:i/>
          <w:lang w:val="it-IT"/>
        </w:rPr>
        <w:lastRenderedPageBreak/>
        <w:t>Lúa thu đông</w:t>
      </w:r>
    </w:p>
    <w:p w14:paraId="3F701816" w14:textId="2763723A" w:rsidR="00586EE5" w:rsidRPr="00C62BC1" w:rsidRDefault="00586EE5" w:rsidP="00C62BC1">
      <w:pPr>
        <w:tabs>
          <w:tab w:val="left" w:pos="0"/>
        </w:tabs>
        <w:spacing w:after="120" w:line="252" w:lineRule="auto"/>
        <w:ind w:firstLine="720"/>
        <w:jc w:val="both"/>
        <w:rPr>
          <w:spacing w:val="-4"/>
          <w:lang w:val="it-IT"/>
        </w:rPr>
      </w:pPr>
      <w:r w:rsidRPr="00C62BC1">
        <w:rPr>
          <w:lang w:val="it-IT"/>
        </w:rPr>
        <w:t xml:space="preserve">Diện tích gieo trồng lúa thu đông năm 2025 tại vùng Đồng bằng sông Cửu Long và Tây Ninh ước đạt </w:t>
      </w:r>
      <w:r w:rsidRPr="00C62BC1">
        <w:rPr>
          <w:lang w:val="vi-VN"/>
        </w:rPr>
        <w:t>71</w:t>
      </w:r>
      <w:r w:rsidRPr="00C62BC1">
        <w:rPr>
          <w:lang w:val="it-IT"/>
        </w:rPr>
        <w:t>6,6 nghìn ha, giảm 1,3 nghìn ha so với cùng kỳ năm trước</w:t>
      </w:r>
      <w:r w:rsidRPr="00C62BC1">
        <w:rPr>
          <w:lang w:val="vi-VN"/>
        </w:rPr>
        <w:t xml:space="preserve"> </w:t>
      </w:r>
      <w:r w:rsidRPr="00C62BC1">
        <w:rPr>
          <w:lang w:val="it-IT"/>
        </w:rPr>
        <w:t xml:space="preserve">do một số địa phương </w:t>
      </w:r>
      <w:r w:rsidRPr="00C62BC1">
        <w:rPr>
          <w:lang w:val="vi-VN"/>
        </w:rPr>
        <w:t xml:space="preserve">chuyển đổi </w:t>
      </w:r>
      <w:r w:rsidRPr="00C62BC1">
        <w:rPr>
          <w:lang w:val="it-IT"/>
        </w:rPr>
        <w:t xml:space="preserve">một phần diện tích đất lúa </w:t>
      </w:r>
      <w:r w:rsidRPr="00C62BC1">
        <w:rPr>
          <w:lang w:val="vi-VN"/>
        </w:rPr>
        <w:t>sang trồng cây ăn trái và rau màu cho hiệu quả kinh tế cao hơn</w:t>
      </w:r>
      <w:r w:rsidRPr="00C62BC1">
        <w:rPr>
          <w:lang w:val="it-IT"/>
        </w:rPr>
        <w:t xml:space="preserve">. Ngoài ra, một số </w:t>
      </w:r>
      <w:r w:rsidR="00F06679" w:rsidRPr="00C62BC1">
        <w:rPr>
          <w:lang w:val="it-IT"/>
        </w:rPr>
        <w:t>nơi chưa</w:t>
      </w:r>
      <w:r w:rsidRPr="00C62BC1">
        <w:rPr>
          <w:lang w:val="vi-VN"/>
        </w:rPr>
        <w:t xml:space="preserve"> </w:t>
      </w:r>
      <w:r w:rsidRPr="00C62BC1">
        <w:rPr>
          <w:lang w:val="it-IT"/>
        </w:rPr>
        <w:t>xuống giống,</w:t>
      </w:r>
      <w:r w:rsidRPr="00C62BC1">
        <w:rPr>
          <w:lang w:val="vi-VN"/>
        </w:rPr>
        <w:t xml:space="preserve"> </w:t>
      </w:r>
      <w:r w:rsidRPr="00C62BC1">
        <w:rPr>
          <w:lang w:val="it-IT"/>
        </w:rPr>
        <w:t>chủ động</w:t>
      </w:r>
      <w:r w:rsidRPr="00C62BC1">
        <w:rPr>
          <w:lang w:val="vi-VN"/>
        </w:rPr>
        <w:t xml:space="preserve"> đưa nước vào ruộng </w:t>
      </w:r>
      <w:r w:rsidRPr="00C62BC1">
        <w:rPr>
          <w:lang w:val="it-IT"/>
        </w:rPr>
        <w:t>để đón</w:t>
      </w:r>
      <w:r w:rsidRPr="00C62BC1">
        <w:rPr>
          <w:lang w:val="vi-VN"/>
        </w:rPr>
        <w:t xml:space="preserve"> phù sa</w:t>
      </w:r>
      <w:r w:rsidRPr="00C62BC1">
        <w:rPr>
          <w:lang w:val="it-IT"/>
        </w:rPr>
        <w:t xml:space="preserve"> </w:t>
      </w:r>
      <w:r w:rsidRPr="00C62BC1">
        <w:rPr>
          <w:lang w:val="vi-VN"/>
        </w:rPr>
        <w:t xml:space="preserve">chuẩn bị </w:t>
      </w:r>
      <w:r w:rsidRPr="00C62BC1">
        <w:rPr>
          <w:lang w:val="it-IT"/>
        </w:rPr>
        <w:t>cho gieo trồng</w:t>
      </w:r>
      <w:r w:rsidRPr="00C62BC1">
        <w:rPr>
          <w:lang w:val="vi-VN"/>
        </w:rPr>
        <w:t xml:space="preserve"> vụ đông xuân năm 2025-2026</w:t>
      </w:r>
      <w:r w:rsidRPr="00C62BC1">
        <w:rPr>
          <w:spacing w:val="-4"/>
          <w:lang w:val="it-IT"/>
        </w:rPr>
        <w:t xml:space="preserve">. </w:t>
      </w:r>
      <w:r w:rsidRPr="00C62BC1">
        <w:rPr>
          <w:lang w:val="it-IT"/>
        </w:rPr>
        <w:t xml:space="preserve">Một số </w:t>
      </w:r>
      <w:r w:rsidRPr="00C62BC1">
        <w:rPr>
          <w:rFonts w:hint="eastAsia"/>
          <w:lang w:val="it-IT"/>
        </w:rPr>
        <w:t>đ</w:t>
      </w:r>
      <w:r w:rsidRPr="00C62BC1">
        <w:rPr>
          <w:lang w:val="it-IT"/>
        </w:rPr>
        <w:t>ịa ph</w:t>
      </w:r>
      <w:r w:rsidRPr="00C62BC1">
        <w:rPr>
          <w:rFonts w:hint="eastAsia"/>
          <w:lang w:val="it-IT"/>
        </w:rPr>
        <w:t>ươ</w:t>
      </w:r>
      <w:r w:rsidRPr="00C62BC1">
        <w:rPr>
          <w:lang w:val="it-IT"/>
        </w:rPr>
        <w:t xml:space="preserve">ng có diện tích gieo cấy giảm so với vụ thu đông năm trước: </w:t>
      </w:r>
      <w:r w:rsidRPr="00C62BC1">
        <w:rPr>
          <w:lang w:val="vi-VN"/>
        </w:rPr>
        <w:t>Vĩnh Long giảm 1,7 nghìn ha; Cần Thơ giảm 2,6 nghìn ha; Kiên Giang giảm 6,7 nghìn ha; Cà Mau giảm 7,1 nghìn ha</w:t>
      </w:r>
      <w:r w:rsidRPr="00C62BC1">
        <w:rPr>
          <w:lang w:val="it-IT"/>
        </w:rPr>
        <w:t>.</w:t>
      </w:r>
    </w:p>
    <w:p w14:paraId="4A58EC5E" w14:textId="77777777" w:rsidR="00586EE5" w:rsidRPr="00C62BC1" w:rsidRDefault="00586EE5" w:rsidP="00C62BC1">
      <w:pPr>
        <w:tabs>
          <w:tab w:val="left" w:pos="0"/>
        </w:tabs>
        <w:spacing w:after="120" w:line="252" w:lineRule="auto"/>
        <w:ind w:firstLine="720"/>
        <w:jc w:val="both"/>
        <w:rPr>
          <w:spacing w:val="-4"/>
          <w:lang w:val="it-IT"/>
        </w:rPr>
      </w:pPr>
      <w:r w:rsidRPr="00C62BC1">
        <w:rPr>
          <w:spacing w:val="-4"/>
          <w:lang w:val="it-IT"/>
        </w:rPr>
        <w:t xml:space="preserve">Tính đến ngày 20/11/2025, các địa phương thu hoạch được </w:t>
      </w:r>
      <w:r w:rsidRPr="00C62BC1">
        <w:rPr>
          <w:spacing w:val="-4"/>
          <w:lang w:val="vi-VN"/>
        </w:rPr>
        <w:t>435,7</w:t>
      </w:r>
      <w:r w:rsidRPr="00C62BC1">
        <w:rPr>
          <w:spacing w:val="-4"/>
          <w:lang w:val="it-IT"/>
        </w:rPr>
        <w:t xml:space="preserve"> nghìn ha lúa thu đông, chiếm </w:t>
      </w:r>
      <w:r w:rsidRPr="00C62BC1">
        <w:rPr>
          <w:spacing w:val="-4"/>
          <w:lang w:val="vi-VN"/>
        </w:rPr>
        <w:t>60,</w:t>
      </w:r>
      <w:r w:rsidRPr="00C62BC1">
        <w:rPr>
          <w:spacing w:val="-4"/>
          <w:lang w:val="it-IT"/>
        </w:rPr>
        <w:t>8</w:t>
      </w:r>
      <w:r w:rsidRPr="00C62BC1">
        <w:rPr>
          <w:spacing w:val="-4"/>
          <w:lang w:val="vi-VN"/>
        </w:rPr>
        <w:t>%</w:t>
      </w:r>
      <w:r w:rsidRPr="00C62BC1">
        <w:rPr>
          <w:spacing w:val="-4"/>
          <w:lang w:val="it-IT"/>
        </w:rPr>
        <w:t xml:space="preserve"> diện tích gieo cấy và bằng 95,9% cùng kỳ năm trước, chủ yếu do xuống giống muộn đặc biệt tại An Giang là địa phương có diện tích lúa thu đông lớn nhất trong vùng, diện tích thu hoạch của An Giang hiện chỉ đạt 155,7 nghìn ha, chiếm 62,9% diện tích</w:t>
      </w:r>
      <w:r w:rsidRPr="00C62BC1">
        <w:rPr>
          <w:spacing w:val="-4"/>
          <w:lang w:val="vi-VN"/>
        </w:rPr>
        <w:t xml:space="preserve"> xuống giống</w:t>
      </w:r>
      <w:r w:rsidRPr="00C62BC1">
        <w:rPr>
          <w:spacing w:val="-4"/>
          <w:lang w:val="it-IT"/>
        </w:rPr>
        <w:t xml:space="preserve"> và bằng 84,9% cùng kỳ năm trước. </w:t>
      </w:r>
    </w:p>
    <w:p w14:paraId="5070ACF6" w14:textId="77777777" w:rsidR="00586EE5" w:rsidRPr="00C62BC1" w:rsidRDefault="00586EE5" w:rsidP="00C62BC1">
      <w:pPr>
        <w:tabs>
          <w:tab w:val="left" w:pos="284"/>
        </w:tabs>
        <w:spacing w:after="120" w:line="252" w:lineRule="auto"/>
        <w:ind w:firstLine="720"/>
        <w:jc w:val="both"/>
        <w:rPr>
          <w:i/>
          <w:spacing w:val="-4"/>
          <w:lang w:val="it-IT"/>
        </w:rPr>
      </w:pPr>
      <w:r w:rsidRPr="00C62BC1">
        <w:rPr>
          <w:i/>
          <w:spacing w:val="-4"/>
          <w:lang w:val="it-IT"/>
        </w:rPr>
        <w:t>Cây hằng năm</w:t>
      </w:r>
    </w:p>
    <w:p w14:paraId="0DA838E7" w14:textId="77777777" w:rsidR="00586EE5" w:rsidRPr="00C62BC1" w:rsidRDefault="00586EE5" w:rsidP="00C62BC1">
      <w:pPr>
        <w:tabs>
          <w:tab w:val="left" w:pos="284"/>
        </w:tabs>
        <w:spacing w:after="120" w:line="252" w:lineRule="auto"/>
        <w:ind w:firstLine="720"/>
        <w:jc w:val="both"/>
        <w:rPr>
          <w:lang w:val="it-IT"/>
        </w:rPr>
      </w:pPr>
      <w:r w:rsidRPr="00C62BC1">
        <w:rPr>
          <w:lang w:val="it-IT"/>
        </w:rPr>
        <w:t>Do ảnh hưởng của thiên tai, lũ lụt nên diện tích hầu hết các cây rau màu đều giảm so với cùng kỳ năm trước. Mặc dù tiến độ gieo trồng giảm ở hầu hết các loại cây, song nhìn chung các địa phương miền Bắc nhanh chóng khôi phục sản xuất ngay khi điều kiện thời tiết ổn định trở lại. Các vùng rau chuyên canh tại Hà Nội, Hải Dương, Vĩnh Phúc đang đẩy mạnh mở rộng diện tích gieo trồng phục vụ nhu cầu cuối năm và Tết Nguyên đán.</w:t>
      </w:r>
    </w:p>
    <w:p w14:paraId="099BC01A" w14:textId="77777777" w:rsidR="00586EE5" w:rsidRPr="00C62BC1" w:rsidRDefault="00586EE5" w:rsidP="00586EE5">
      <w:pPr>
        <w:tabs>
          <w:tab w:val="left" w:pos="284"/>
        </w:tabs>
        <w:spacing w:after="120" w:line="264" w:lineRule="auto"/>
        <w:ind w:firstLine="720"/>
        <w:jc w:val="center"/>
        <w:rPr>
          <w:rFonts w:ascii="Arial" w:hAnsi="Arial" w:cs="Arial"/>
          <w:b/>
          <w:sz w:val="24"/>
          <w:szCs w:val="24"/>
          <w:lang w:val="de-DE"/>
        </w:rPr>
      </w:pPr>
      <w:r w:rsidRPr="00C62BC1">
        <w:rPr>
          <w:rFonts w:ascii="Arial" w:hAnsi="Arial" w:cs="Arial"/>
          <w:b/>
          <w:sz w:val="24"/>
          <w:szCs w:val="24"/>
          <w:lang w:val="de-DE"/>
        </w:rPr>
        <w:t>Hình 1. Diện tích gieo trồng một số cây hàng năm</w:t>
      </w:r>
    </w:p>
    <w:p w14:paraId="3725522E" w14:textId="77777777" w:rsidR="00586EE5" w:rsidRPr="00C62BC1" w:rsidRDefault="00586EE5" w:rsidP="00586EE5">
      <w:pPr>
        <w:pStyle w:val="Normal1"/>
        <w:tabs>
          <w:tab w:val="left" w:pos="7380"/>
        </w:tabs>
        <w:spacing w:before="60" w:beforeAutospacing="0" w:after="0" w:afterAutospacing="0"/>
        <w:jc w:val="center"/>
        <w:rPr>
          <w:rFonts w:ascii="Arial" w:hAnsi="Arial" w:cs="Arial"/>
          <w:bCs/>
          <w:i/>
          <w:iCs/>
        </w:rPr>
      </w:pPr>
      <w:r w:rsidRPr="00C62BC1">
        <w:rPr>
          <w:rFonts w:ascii="Arial" w:hAnsi="Arial" w:cs="Arial"/>
          <w:bCs/>
          <w:i/>
          <w:iCs/>
        </w:rPr>
        <w:t>(Tính đến 20/11/2025)</w:t>
      </w:r>
    </w:p>
    <w:p w14:paraId="2DCE730C" w14:textId="77777777" w:rsidR="00586EE5" w:rsidRPr="00C62BC1" w:rsidRDefault="00586EE5" w:rsidP="00586EE5">
      <w:pPr>
        <w:pStyle w:val="Normal1"/>
        <w:tabs>
          <w:tab w:val="left" w:pos="142"/>
          <w:tab w:val="left" w:pos="7380"/>
        </w:tabs>
        <w:spacing w:before="60" w:beforeAutospacing="0" w:after="0" w:afterAutospacing="0"/>
        <w:jc w:val="center"/>
        <w:rPr>
          <w:rFonts w:ascii="Arial" w:hAnsi="Arial" w:cs="Arial"/>
          <w:bCs/>
          <w:i/>
          <w:iCs/>
        </w:rPr>
      </w:pPr>
      <w:r w:rsidRPr="00C62BC1">
        <w:rPr>
          <w:noProof/>
        </w:rPr>
        <w:drawing>
          <wp:inline distT="0" distB="0" distL="0" distR="0" wp14:anchorId="1E1E5AE9" wp14:editId="4803D813">
            <wp:extent cx="5689205" cy="1872809"/>
            <wp:effectExtent l="0" t="0" r="6985" b="0"/>
            <wp:docPr id="1350421711" name="Picture 1350421711" descr="A screenshot of a cell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421711" name="Picture 1350421711" descr="A screenshot of a cellphone&#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9528" cy="1882791"/>
                    </a:xfrm>
                    <a:prstGeom prst="rect">
                      <a:avLst/>
                    </a:prstGeom>
                    <a:noFill/>
                    <a:ln>
                      <a:noFill/>
                    </a:ln>
                  </pic:spPr>
                </pic:pic>
              </a:graphicData>
            </a:graphic>
          </wp:inline>
        </w:drawing>
      </w:r>
    </w:p>
    <w:p w14:paraId="64206002" w14:textId="420EC16D" w:rsidR="00586EE5" w:rsidRPr="00C62BC1" w:rsidRDefault="00586EE5" w:rsidP="00C62BC1">
      <w:pPr>
        <w:spacing w:after="120" w:line="264" w:lineRule="auto"/>
        <w:ind w:firstLine="720"/>
        <w:jc w:val="both"/>
        <w:rPr>
          <w:rFonts w:eastAsiaTheme="minorEastAsia"/>
        </w:rPr>
      </w:pPr>
      <w:r w:rsidRPr="00C62BC1">
        <w:rPr>
          <w:i/>
          <w:spacing w:val="-2"/>
        </w:rPr>
        <w:t>Chăn nuôi</w:t>
      </w:r>
    </w:p>
    <w:p w14:paraId="491025F6" w14:textId="77777777" w:rsidR="00586EE5" w:rsidRPr="00C62BC1" w:rsidRDefault="00586EE5" w:rsidP="006A050D">
      <w:pPr>
        <w:pStyle w:val="BalloonText"/>
        <w:spacing w:after="120" w:line="264" w:lineRule="auto"/>
        <w:ind w:firstLine="720"/>
        <w:jc w:val="both"/>
        <w:rPr>
          <w:rFonts w:ascii="Times New Roman" w:hAnsi="Times New Roman" w:cs="Times New Roman"/>
          <w:sz w:val="28"/>
          <w:szCs w:val="28"/>
          <w:lang w:val="it-IT"/>
        </w:rPr>
      </w:pPr>
      <w:r w:rsidRPr="00C62BC1">
        <w:rPr>
          <w:rFonts w:ascii="Times New Roman" w:hAnsi="Times New Roman" w:cs="Times New Roman"/>
          <w:spacing w:val="-4"/>
          <w:sz w:val="28"/>
          <w:szCs w:val="28"/>
        </w:rPr>
        <w:t>Chăn nuôi trâu tiếp tục xu hướng giảm, chủ yếu</w:t>
      </w:r>
      <w:r w:rsidRPr="00C62BC1">
        <w:rPr>
          <w:rFonts w:ascii="Times New Roman" w:hAnsi="Times New Roman" w:cs="Times New Roman"/>
          <w:spacing w:val="-4"/>
          <w:sz w:val="32"/>
          <w:szCs w:val="32"/>
        </w:rPr>
        <w:t xml:space="preserve"> </w:t>
      </w:r>
      <w:r w:rsidRPr="00C62BC1">
        <w:rPr>
          <w:rFonts w:ascii="Times New Roman" w:hAnsi="Times New Roman" w:cs="Times New Roman"/>
          <w:spacing w:val="-4"/>
          <w:sz w:val="28"/>
          <w:szCs w:val="28"/>
        </w:rPr>
        <w:t xml:space="preserve">do diện tích chăn thả tự nhiên bị thu hẹp, chi phí đầu tư lớn, thời gian nuôi dài và lợi nhuận thấp. Một số địa phương có đàn trâu giảm: </w:t>
      </w:r>
      <w:r w:rsidRPr="00C62BC1">
        <w:rPr>
          <w:rFonts w:ascii="Times New Roman" w:hAnsi="Times New Roman"/>
          <w:sz w:val="28"/>
          <w:szCs w:val="28"/>
        </w:rPr>
        <w:t xml:space="preserve">Thanh Hóa giảm 13,2%; Lai Châu giảm 3,1%; Tuyên Quang giảm 2,6%; Phú Thọ giảm 2,5%. </w:t>
      </w:r>
      <w:r w:rsidRPr="00C62BC1">
        <w:rPr>
          <w:rFonts w:ascii="Times New Roman" w:hAnsi="Times New Roman" w:cs="Times New Roman"/>
          <w:sz w:val="28"/>
          <w:szCs w:val="28"/>
          <w:lang w:val="it-IT"/>
        </w:rPr>
        <w:t xml:space="preserve">Đàn bò giảm nhẹ </w:t>
      </w:r>
      <w:r w:rsidRPr="00C62BC1">
        <w:rPr>
          <w:rFonts w:ascii="Times New Roman" w:hAnsi="Times New Roman" w:cs="Times New Roman"/>
          <w:spacing w:val="-4"/>
          <w:sz w:val="28"/>
          <w:szCs w:val="28"/>
          <w:lang w:val="it-IT"/>
        </w:rPr>
        <w:t>chủ yếu do thiếu nguồn thức ăn thô xanh, chi phí đầu vào cao và chăn nuôi nhỏ lẻ kém hiệu</w:t>
      </w:r>
      <w:r w:rsidRPr="00C62BC1">
        <w:rPr>
          <w:rFonts w:ascii="Times New Roman" w:hAnsi="Times New Roman" w:cs="Times New Roman"/>
          <w:sz w:val="28"/>
          <w:szCs w:val="28"/>
          <w:lang w:val="it-IT"/>
        </w:rPr>
        <w:t xml:space="preserve"> quả. </w:t>
      </w:r>
      <w:r w:rsidRPr="00C62BC1">
        <w:rPr>
          <w:rFonts w:ascii="Times New Roman" w:hAnsi="Times New Roman"/>
          <w:sz w:val="28"/>
          <w:szCs w:val="28"/>
          <w:lang w:val="it-IT"/>
        </w:rPr>
        <w:t>Tuy nhiên, đàn bò vẫn tăng ở một số địa phương nhờ thị trường tiêu thụ ổn định và hệ thống trang trại công nghệ cao phát triển: Nghệ An tăng 2,4%; Lâm Đồng tăng 2,1%</w:t>
      </w:r>
    </w:p>
    <w:p w14:paraId="0B8D242A" w14:textId="2D21D105" w:rsidR="00586EE5" w:rsidRPr="00C62BC1" w:rsidRDefault="00586EE5" w:rsidP="00C62BC1">
      <w:pPr>
        <w:spacing w:after="120" w:line="264" w:lineRule="auto"/>
        <w:ind w:firstLine="720"/>
        <w:jc w:val="both"/>
        <w:rPr>
          <w:rFonts w:eastAsiaTheme="minorHAnsi"/>
          <w:kern w:val="2"/>
          <w:lang w:val="it-IT"/>
          <w14:ligatures w14:val="standardContextual"/>
        </w:rPr>
      </w:pPr>
      <w:r w:rsidRPr="00C62BC1">
        <w:rPr>
          <w:lang w:val="it-IT"/>
        </w:rPr>
        <w:lastRenderedPageBreak/>
        <w:t>Ch</w:t>
      </w:r>
      <w:r w:rsidRPr="00C62BC1">
        <w:rPr>
          <w:rFonts w:hint="eastAsia"/>
          <w:lang w:val="it-IT"/>
        </w:rPr>
        <w:t>ă</w:t>
      </w:r>
      <w:r w:rsidRPr="00C62BC1">
        <w:rPr>
          <w:lang w:val="it-IT"/>
        </w:rPr>
        <w:t xml:space="preserve">n nuôi lợn tại nhiều địa phương bắt </w:t>
      </w:r>
      <w:r w:rsidRPr="00C62BC1">
        <w:rPr>
          <w:rFonts w:hint="eastAsia"/>
          <w:lang w:val="it-IT"/>
        </w:rPr>
        <w:t>đ</w:t>
      </w:r>
      <w:r w:rsidRPr="00C62BC1">
        <w:rPr>
          <w:lang w:val="it-IT"/>
        </w:rPr>
        <w:t xml:space="preserve">ầu phục hồi sau ảnh hưởng của dịch tả lợn châu Phi, nhưng tại các tỉnh miền Trung do chịu tác </w:t>
      </w:r>
      <w:r w:rsidRPr="00C62BC1">
        <w:rPr>
          <w:rFonts w:hint="eastAsia"/>
          <w:lang w:val="it-IT"/>
        </w:rPr>
        <w:t>đ</w:t>
      </w:r>
      <w:r w:rsidRPr="00C62BC1">
        <w:rPr>
          <w:lang w:val="it-IT"/>
        </w:rPr>
        <w:t>ộng nặng nề của m</w:t>
      </w:r>
      <w:r w:rsidRPr="00C62BC1">
        <w:rPr>
          <w:rFonts w:hint="eastAsia"/>
          <w:lang w:val="it-IT"/>
        </w:rPr>
        <w:t>ư</w:t>
      </w:r>
      <w:r w:rsidRPr="00C62BC1">
        <w:rPr>
          <w:lang w:val="it-IT"/>
        </w:rPr>
        <w:t xml:space="preserve">a lũ, quá trình tái </w:t>
      </w:r>
      <w:r w:rsidRPr="00C62BC1">
        <w:rPr>
          <w:rFonts w:hint="eastAsia"/>
          <w:lang w:val="it-IT"/>
        </w:rPr>
        <w:t>đà</w:t>
      </w:r>
      <w:r w:rsidRPr="00C62BC1">
        <w:rPr>
          <w:lang w:val="it-IT"/>
        </w:rPr>
        <w:t xml:space="preserve">n bị gián </w:t>
      </w:r>
      <w:r w:rsidRPr="00C62BC1">
        <w:rPr>
          <w:rFonts w:hint="eastAsia"/>
          <w:lang w:val="it-IT"/>
        </w:rPr>
        <w:t>đ</w:t>
      </w:r>
      <w:r w:rsidRPr="00C62BC1">
        <w:rPr>
          <w:lang w:val="it-IT"/>
        </w:rPr>
        <w:t>oạn, quy mô ch</w:t>
      </w:r>
      <w:r w:rsidRPr="00C62BC1">
        <w:rPr>
          <w:rFonts w:hint="eastAsia"/>
          <w:lang w:val="it-IT"/>
        </w:rPr>
        <w:t>ă</w:t>
      </w:r>
      <w:r w:rsidRPr="00C62BC1">
        <w:rPr>
          <w:lang w:val="it-IT"/>
        </w:rPr>
        <w:t>n nuôi thu hẹp, khả n</w:t>
      </w:r>
      <w:r w:rsidRPr="00C62BC1">
        <w:rPr>
          <w:rFonts w:hint="eastAsia"/>
          <w:lang w:val="it-IT"/>
        </w:rPr>
        <w:t>ă</w:t>
      </w:r>
      <w:r w:rsidRPr="00C62BC1">
        <w:rPr>
          <w:lang w:val="it-IT"/>
        </w:rPr>
        <w:t>ng khôi phục sản xuất gặp nhiều khó kh</w:t>
      </w:r>
      <w:r w:rsidRPr="00C62BC1">
        <w:rPr>
          <w:rFonts w:hint="eastAsia"/>
          <w:lang w:val="it-IT"/>
        </w:rPr>
        <w:t>ă</w:t>
      </w:r>
      <w:r w:rsidRPr="00C62BC1">
        <w:rPr>
          <w:lang w:val="it-IT"/>
        </w:rPr>
        <w:t xml:space="preserve">n. Một số địa phương có tổng đàn lợn giảm so với cùng kỳ: Đà Nẵng giảm 2,2%; Hà Tĩnh giảm 2,8%; Thanh Hóa giảm 3,2%; Quảng Ngãi giảm 4,8%; Quảng Trị giảm 5,5%; Khánh Hòa giảm 21,0%. Chăn nuôi gia cầm tại các tỉnh </w:t>
      </w:r>
      <w:r w:rsidR="009F7268" w:rsidRPr="00C62BC1">
        <w:rPr>
          <w:lang w:val="it-IT"/>
        </w:rPr>
        <w:t>duyên hải Nam Trung Bộ và Tây Nguyên</w:t>
      </w:r>
      <w:r w:rsidRPr="00C62BC1">
        <w:rPr>
          <w:lang w:val="it-IT"/>
        </w:rPr>
        <w:t xml:space="preserve"> bị ảnh hưởng bởi mưa lũ khiến sản lượng suy giảm cục bộ, nhưng số lượng gia cầm của cả nước vẫn duy trì đà tăng nhờ các vùng còn lại ổn định và mở rộng quy mô chăn nuôi. Một số địa phương có đàn gia cầm tăng khá so với cùng kỳ: Nghệ An tăng 7,0%; Thanh Hóa tăng 6,3%; Phú Thọ tăng 3,8%; Đồng Nai tăng 2,9% và Hà Nội tăng 1,2%. </w:t>
      </w:r>
    </w:p>
    <w:p w14:paraId="40B111E9" w14:textId="77777777" w:rsidR="00586EE5" w:rsidRPr="00C62BC1" w:rsidRDefault="00586EE5" w:rsidP="00586EE5">
      <w:pPr>
        <w:spacing w:before="120" w:line="288" w:lineRule="auto"/>
        <w:jc w:val="center"/>
        <w:rPr>
          <w:rFonts w:ascii="Arial" w:hAnsi="Arial" w:cs="Arial"/>
          <w:b/>
          <w:sz w:val="24"/>
          <w:szCs w:val="24"/>
          <w:lang w:val="de-DE"/>
        </w:rPr>
      </w:pPr>
      <w:r w:rsidRPr="00C62BC1">
        <w:rPr>
          <w:rFonts w:ascii="Arial" w:hAnsi="Arial" w:cs="Arial"/>
          <w:b/>
          <w:sz w:val="24"/>
          <w:szCs w:val="24"/>
          <w:lang w:val="de-DE"/>
        </w:rPr>
        <w:t>Hình 2. Tốc độ tăng/giảm số lượng gia súc, gia cầm</w:t>
      </w:r>
    </w:p>
    <w:p w14:paraId="6408E964" w14:textId="77777777" w:rsidR="00586EE5" w:rsidRPr="00C62BC1" w:rsidRDefault="00586EE5" w:rsidP="00586EE5">
      <w:pPr>
        <w:spacing w:after="120" w:line="288" w:lineRule="auto"/>
        <w:jc w:val="center"/>
        <w:rPr>
          <w:rFonts w:ascii="Arial" w:hAnsi="Arial" w:cs="Arial"/>
          <w:b/>
          <w:sz w:val="24"/>
          <w:szCs w:val="24"/>
          <w:lang w:val="de-DE"/>
        </w:rPr>
      </w:pPr>
      <w:r w:rsidRPr="00C62BC1">
        <w:rPr>
          <w:rFonts w:ascii="Arial" w:hAnsi="Arial" w:cs="Arial"/>
          <w:b/>
          <w:sz w:val="24"/>
          <w:szCs w:val="24"/>
          <w:lang w:val="de-DE"/>
        </w:rPr>
        <w:t>cuối tháng 11/2025 so với cùng thời điểm năm trước</w:t>
      </w:r>
    </w:p>
    <w:p w14:paraId="44EE81B0" w14:textId="77777777" w:rsidR="00586EE5" w:rsidRPr="00C62BC1" w:rsidRDefault="00586EE5" w:rsidP="00586EE5">
      <w:pPr>
        <w:spacing w:after="120" w:line="288" w:lineRule="auto"/>
        <w:jc w:val="center"/>
        <w:rPr>
          <w:rFonts w:ascii="Arial" w:hAnsi="Arial" w:cs="Arial"/>
          <w:b/>
          <w:sz w:val="24"/>
          <w:szCs w:val="24"/>
          <w:lang w:val="de-DE"/>
        </w:rPr>
      </w:pPr>
      <w:r w:rsidRPr="00C62BC1">
        <w:rPr>
          <w:noProof/>
        </w:rPr>
        <w:drawing>
          <wp:inline distT="0" distB="0" distL="0" distR="0" wp14:anchorId="40944CE2" wp14:editId="7885DC3F">
            <wp:extent cx="5686883" cy="1533525"/>
            <wp:effectExtent l="0" t="0" r="9525" b="0"/>
            <wp:docPr id="1" name="Picture 1" descr="A comparison of a pair of anim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arison of a pair of animals&#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8666" cy="1534006"/>
                    </a:xfrm>
                    <a:prstGeom prst="rect">
                      <a:avLst/>
                    </a:prstGeom>
                    <a:noFill/>
                    <a:ln>
                      <a:noFill/>
                    </a:ln>
                  </pic:spPr>
                </pic:pic>
              </a:graphicData>
            </a:graphic>
          </wp:inline>
        </w:drawing>
      </w:r>
    </w:p>
    <w:p w14:paraId="3C04FD20" w14:textId="77777777" w:rsidR="00586EE5" w:rsidRPr="00C62BC1" w:rsidRDefault="00586EE5" w:rsidP="00C62BC1">
      <w:pPr>
        <w:spacing w:after="120" w:line="264" w:lineRule="auto"/>
        <w:ind w:firstLine="720"/>
        <w:jc w:val="both"/>
        <w:rPr>
          <w:b/>
          <w:i/>
          <w:lang w:val="de-DE"/>
        </w:rPr>
      </w:pPr>
      <w:r w:rsidRPr="00C62BC1">
        <w:rPr>
          <w:lang w:val="sv-SE"/>
        </w:rPr>
        <w:t>Tính đ</w:t>
      </w:r>
      <w:r w:rsidRPr="00C62BC1">
        <w:rPr>
          <w:bCs/>
          <w:lang w:val="sv-SE"/>
        </w:rPr>
        <w:t xml:space="preserve">ến ngày 30/11/2025, </w:t>
      </w:r>
      <w:r w:rsidRPr="00C62BC1">
        <w:rPr>
          <w:lang w:val="sv-SE"/>
        </w:rPr>
        <w:t xml:space="preserve">cả nước không còn dịch tai xanh; dịch cúm gia cầm còn ở </w:t>
      </w:r>
      <w:r w:rsidRPr="00C62BC1">
        <w:rPr>
          <w:lang w:val="de-DE"/>
        </w:rPr>
        <w:t>Hà Nội, Ninh Bình, Quảng Ngãi, Đồng Tháp, Cà Mau</w:t>
      </w:r>
      <w:r w:rsidRPr="00C62BC1">
        <w:rPr>
          <w:lang w:val="sv-SE"/>
        </w:rPr>
        <w:t xml:space="preserve">; dịch lở mồm long móng còn ở </w:t>
      </w:r>
      <w:r w:rsidRPr="00C62BC1">
        <w:rPr>
          <w:lang w:val="de-DE"/>
        </w:rPr>
        <w:t>Tuyên Quang, Sơn La</w:t>
      </w:r>
      <w:r w:rsidRPr="00C62BC1">
        <w:rPr>
          <w:lang w:val="sv-SE"/>
        </w:rPr>
        <w:t xml:space="preserve">; dịch viêm da nổi cục còn ở </w:t>
      </w:r>
      <w:r w:rsidRPr="00C62BC1">
        <w:rPr>
          <w:lang w:val="de-DE"/>
        </w:rPr>
        <w:t xml:space="preserve">Nghệ An </w:t>
      </w:r>
      <w:r w:rsidRPr="00C62BC1">
        <w:rPr>
          <w:lang w:val="sv-SE"/>
        </w:rPr>
        <w:t xml:space="preserve">và dịch tả lợn châu Phi còn ở </w:t>
      </w:r>
      <w:r w:rsidRPr="00C62BC1">
        <w:rPr>
          <w:lang w:val="de-DE"/>
        </w:rPr>
        <w:t>31</w:t>
      </w:r>
      <w:r w:rsidRPr="00C62BC1">
        <w:rPr>
          <w:lang w:val="sv-SE"/>
        </w:rPr>
        <w:t xml:space="preserve"> địa phương chưa qua 21 ngày.</w:t>
      </w:r>
    </w:p>
    <w:p w14:paraId="6B22D986" w14:textId="77777777" w:rsidR="00586EE5" w:rsidRPr="00C62BC1" w:rsidRDefault="00586EE5" w:rsidP="00C62BC1">
      <w:pPr>
        <w:spacing w:after="120" w:line="264" w:lineRule="auto"/>
        <w:ind w:firstLine="720"/>
        <w:jc w:val="both"/>
        <w:rPr>
          <w:b/>
          <w:i/>
          <w:iCs/>
          <w:lang w:val="de-DE"/>
        </w:rPr>
      </w:pPr>
      <w:r w:rsidRPr="00C62BC1">
        <w:rPr>
          <w:b/>
          <w:i/>
          <w:iCs/>
          <w:lang w:val="de-DE"/>
        </w:rPr>
        <w:t>b) Lâm nghiệp</w:t>
      </w:r>
    </w:p>
    <w:p w14:paraId="32FFD01C" w14:textId="77777777" w:rsidR="00586EE5" w:rsidRPr="00C62BC1" w:rsidRDefault="00586EE5" w:rsidP="00C62BC1">
      <w:pPr>
        <w:spacing w:after="120" w:line="264" w:lineRule="auto"/>
        <w:ind w:firstLine="720"/>
        <w:jc w:val="both"/>
        <w:rPr>
          <w:lang w:val="de-DE"/>
        </w:rPr>
      </w:pPr>
      <w:r w:rsidRPr="00C62BC1">
        <w:rPr>
          <w:lang w:val="de-DE"/>
        </w:rPr>
        <w:t>Diện tích rừng trồng mới tập trung cả nước tháng Mười Một ước đạt 29,9 nghìn ha, giảm 4,8% so với cùng kỳ năm trước; số cây lâm nghiệp trồng phân tán đạt 8,3 triệu cây, giảm 1,0%</w:t>
      </w:r>
      <w:r w:rsidRPr="00C62BC1">
        <w:rPr>
          <w:rStyle w:val="FootnoteReference"/>
          <w:lang w:val="de-DE"/>
        </w:rPr>
        <w:footnoteReference w:id="4"/>
      </w:r>
      <w:r w:rsidRPr="00C62BC1">
        <w:rPr>
          <w:lang w:val="de-DE"/>
        </w:rPr>
        <w:t>; sản lượng gỗ khai thác đạt 2.478,5</w:t>
      </w:r>
      <w:r w:rsidRPr="00C62BC1">
        <w:rPr>
          <w:lang w:val="vi-VN"/>
        </w:rPr>
        <w:t xml:space="preserve"> </w:t>
      </w:r>
      <w:r w:rsidRPr="00C62BC1">
        <w:rPr>
          <w:lang w:val="de-DE"/>
        </w:rPr>
        <w:t>nghìn m</w:t>
      </w:r>
      <w:r w:rsidRPr="00C62BC1">
        <w:rPr>
          <w:vertAlign w:val="superscript"/>
          <w:lang w:val="de-DE"/>
        </w:rPr>
        <w:t>3</w:t>
      </w:r>
      <w:r w:rsidRPr="00C62BC1">
        <w:rPr>
          <w:lang w:val="de-DE"/>
        </w:rPr>
        <w:t xml:space="preserve">, tăng 1,9% do </w:t>
      </w:r>
      <w:r w:rsidRPr="00C62BC1">
        <w:rPr>
          <w:lang w:val="vi-VN"/>
        </w:rPr>
        <w:t>giá gỗ nguyên liệu duy trì ổn định</w:t>
      </w:r>
      <w:r w:rsidRPr="00C62BC1">
        <w:rPr>
          <w:lang w:val="de-DE"/>
        </w:rPr>
        <w:t xml:space="preserve">, nhiều địa phương </w:t>
      </w:r>
      <w:r w:rsidRPr="00C62BC1">
        <w:rPr>
          <w:lang w:val="vi-VN"/>
        </w:rPr>
        <w:t xml:space="preserve">đẩy mạnh </w:t>
      </w:r>
      <w:r w:rsidRPr="00C62BC1">
        <w:rPr>
          <w:lang w:val="de-DE"/>
        </w:rPr>
        <w:t>khai thác gỗ đến kỳ thu hoạch</w:t>
      </w:r>
      <w:r w:rsidRPr="00C62BC1">
        <w:rPr>
          <w:vertAlign w:val="superscript"/>
          <w:lang w:val="de-DE"/>
        </w:rPr>
        <w:footnoteReference w:id="5"/>
      </w:r>
      <w:r w:rsidRPr="00C62BC1">
        <w:rPr>
          <w:lang w:val="de-DE"/>
        </w:rPr>
        <w:t xml:space="preserve">. Tính chung </w:t>
      </w:r>
      <w:r w:rsidRPr="00C62BC1">
        <w:rPr>
          <w:lang w:val="vi-VN"/>
        </w:rPr>
        <w:t>mười</w:t>
      </w:r>
      <w:r w:rsidRPr="00C62BC1">
        <w:rPr>
          <w:lang w:val="de-DE"/>
        </w:rPr>
        <w:t xml:space="preserve"> một tháng năm 2025, diện tích rừng trồng mới tập trung ước đạt 281,1 nghìn ha, tăng 6,</w:t>
      </w:r>
      <w:r w:rsidRPr="00C62BC1">
        <w:rPr>
          <w:lang w:val="vi-VN"/>
        </w:rPr>
        <w:t>5</w:t>
      </w:r>
      <w:r w:rsidRPr="00C62BC1">
        <w:rPr>
          <w:lang w:val="de-DE"/>
        </w:rPr>
        <w:t xml:space="preserve">% so với cùng kỳ năm trước; số cây lâm nghiệp trồng phân tán đạt 83,0 triệu cây, tăng 1,0%; sản lượng gỗ khai thác đạt </w:t>
      </w:r>
      <w:r w:rsidRPr="00C62BC1">
        <w:rPr>
          <w:lang w:val="vi-VN"/>
        </w:rPr>
        <w:t>22</w:t>
      </w:r>
      <w:r w:rsidRPr="00C62BC1">
        <w:rPr>
          <w:lang w:val="de-DE"/>
        </w:rPr>
        <w:t>.881,5 nghìn m</w:t>
      </w:r>
      <w:r w:rsidRPr="00C62BC1">
        <w:rPr>
          <w:vertAlign w:val="superscript"/>
          <w:lang w:val="de-DE"/>
        </w:rPr>
        <w:t>3</w:t>
      </w:r>
      <w:r w:rsidRPr="00C62BC1">
        <w:rPr>
          <w:lang w:val="de-DE"/>
        </w:rPr>
        <w:t xml:space="preserve">, tăng </w:t>
      </w:r>
      <w:r w:rsidRPr="00C62BC1">
        <w:rPr>
          <w:lang w:val="vi-VN"/>
        </w:rPr>
        <w:t>6</w:t>
      </w:r>
      <w:r w:rsidRPr="00C62BC1">
        <w:rPr>
          <w:lang w:val="de-DE"/>
        </w:rPr>
        <w:t>,</w:t>
      </w:r>
      <w:r w:rsidRPr="00C62BC1">
        <w:rPr>
          <w:lang w:val="vi-VN"/>
        </w:rPr>
        <w:t>8</w:t>
      </w:r>
      <w:r w:rsidRPr="00C62BC1">
        <w:rPr>
          <w:lang w:val="de-DE"/>
        </w:rPr>
        <w:t>%.</w:t>
      </w:r>
    </w:p>
    <w:p w14:paraId="1ADF8157" w14:textId="77777777" w:rsidR="00586EE5" w:rsidRPr="00C62BC1" w:rsidRDefault="00586EE5" w:rsidP="00C62BC1">
      <w:pPr>
        <w:spacing w:after="120" w:line="264" w:lineRule="auto"/>
        <w:ind w:firstLine="720"/>
        <w:jc w:val="both"/>
        <w:rPr>
          <w:spacing w:val="-4"/>
          <w:lang w:val="de-DE"/>
        </w:rPr>
      </w:pPr>
      <w:r w:rsidRPr="00C62BC1">
        <w:rPr>
          <w:spacing w:val="-4"/>
          <w:lang w:val="de-DE"/>
        </w:rPr>
        <w:lastRenderedPageBreak/>
        <w:t>Diện tích rừng bị thiệt hại</w:t>
      </w:r>
      <w:r w:rsidRPr="00C62BC1">
        <w:rPr>
          <w:spacing w:val="-4"/>
          <w:vertAlign w:val="superscript"/>
          <w:lang w:val="de-DE"/>
        </w:rPr>
        <w:footnoteReference w:id="6"/>
      </w:r>
      <w:r w:rsidRPr="00C62BC1">
        <w:rPr>
          <w:spacing w:val="-4"/>
          <w:lang w:val="de-DE"/>
        </w:rPr>
        <w:t xml:space="preserve"> trong tháng Mười Một đạt 18,8 ha, giảm 76,0% so với cùng kỳ năm trước, trong đó rừng bị chặt, phá là 18,7 ha, giảm 75,1%; diện tích rừng bị cháy là 0,1 ha, </w:t>
      </w:r>
      <w:r w:rsidRPr="00C62BC1">
        <w:rPr>
          <w:spacing w:val="-4"/>
          <w:lang w:val="vi-VN"/>
        </w:rPr>
        <w:t>giảm</w:t>
      </w:r>
      <w:r w:rsidRPr="00C62BC1">
        <w:rPr>
          <w:spacing w:val="-4"/>
          <w:lang w:val="de-DE"/>
        </w:rPr>
        <w:t xml:space="preserve"> 96,9%. Tính chung </w:t>
      </w:r>
      <w:r w:rsidRPr="00C62BC1">
        <w:rPr>
          <w:spacing w:val="-4"/>
          <w:lang w:val="vi-VN"/>
        </w:rPr>
        <w:t>mười</w:t>
      </w:r>
      <w:r w:rsidRPr="00C62BC1">
        <w:rPr>
          <w:spacing w:val="-4"/>
          <w:lang w:val="de-DE"/>
        </w:rPr>
        <w:t xml:space="preserve"> một tháng năm 2025, diện tích rừng bị thiệt hại là 1.059,6 ha, giảm 33,1% so với cùng kỳ năm trước, trong đó diện tích rừng bị chặt, phá là 744,1 ha, giảm 11,3%; diện tích rừng bị cháy là 315,5 ha, giảm 57,8%.</w:t>
      </w:r>
    </w:p>
    <w:p w14:paraId="0B719ECE" w14:textId="77777777" w:rsidR="00586EE5" w:rsidRPr="00C62BC1" w:rsidRDefault="00586EE5" w:rsidP="00C62BC1">
      <w:pPr>
        <w:spacing w:after="120" w:line="264" w:lineRule="auto"/>
        <w:ind w:firstLine="720"/>
        <w:jc w:val="both"/>
        <w:rPr>
          <w:b/>
          <w:bCs/>
          <w:i/>
          <w:iCs/>
          <w:lang w:val="de-DE"/>
        </w:rPr>
      </w:pPr>
      <w:r w:rsidRPr="00C62BC1">
        <w:rPr>
          <w:b/>
          <w:bCs/>
          <w:i/>
          <w:iCs/>
          <w:lang w:val="de-DE"/>
        </w:rPr>
        <w:t>c) Thủy sản</w:t>
      </w:r>
    </w:p>
    <w:p w14:paraId="20E60128" w14:textId="77777777" w:rsidR="00586EE5" w:rsidRPr="00C62BC1" w:rsidRDefault="00586EE5" w:rsidP="00C62BC1">
      <w:pPr>
        <w:spacing w:after="120" w:line="264" w:lineRule="auto"/>
        <w:ind w:firstLine="720"/>
        <w:jc w:val="both"/>
        <w:rPr>
          <w:lang w:val="de-DE"/>
        </w:rPr>
      </w:pPr>
      <w:r w:rsidRPr="00C62BC1">
        <w:rPr>
          <w:lang w:val="de-DE"/>
        </w:rPr>
        <w:t xml:space="preserve">Sản lượng thủy sản tháng Mười Một ước đạt 904,5 nghìn tấn, tăng </w:t>
      </w:r>
      <w:r w:rsidRPr="00C62BC1">
        <w:rPr>
          <w:lang w:val="vi-VN"/>
        </w:rPr>
        <w:t>2</w:t>
      </w:r>
      <w:r w:rsidRPr="00C62BC1">
        <w:rPr>
          <w:lang w:val="de-DE"/>
        </w:rPr>
        <w:t>,</w:t>
      </w:r>
      <w:r w:rsidRPr="00C62BC1">
        <w:rPr>
          <w:lang w:val="vi-VN"/>
        </w:rPr>
        <w:t>6</w:t>
      </w:r>
      <w:r w:rsidRPr="00C62BC1">
        <w:rPr>
          <w:lang w:val="de-DE"/>
        </w:rPr>
        <w:t>% so với cùng kỳ năm trước, bao gồm: Cá đạt 633,5 nghìn tấn, tăng 2,4%; tôm đạt 157,8 nghìn tấn, tăng 4,5%; thủy sản khác đạt 1</w:t>
      </w:r>
      <w:r w:rsidRPr="00C62BC1">
        <w:rPr>
          <w:lang w:val="vi-VN"/>
        </w:rPr>
        <w:t>13</w:t>
      </w:r>
      <w:r w:rsidRPr="00C62BC1">
        <w:rPr>
          <w:lang w:val="de-DE"/>
        </w:rPr>
        <w:t>,</w:t>
      </w:r>
      <w:r w:rsidRPr="00C62BC1">
        <w:rPr>
          <w:lang w:val="vi-VN"/>
        </w:rPr>
        <w:t>2</w:t>
      </w:r>
      <w:r w:rsidRPr="00C62BC1">
        <w:rPr>
          <w:lang w:val="de-DE"/>
        </w:rPr>
        <w:t xml:space="preserve"> nghìn tấn, tăng </w:t>
      </w:r>
      <w:r w:rsidRPr="00C62BC1">
        <w:rPr>
          <w:lang w:val="vi-VN"/>
        </w:rPr>
        <w:t>0</w:t>
      </w:r>
      <w:r w:rsidRPr="00C62BC1">
        <w:rPr>
          <w:lang w:val="de-DE"/>
        </w:rPr>
        <w:t>,</w:t>
      </w:r>
      <w:r w:rsidRPr="00C62BC1">
        <w:rPr>
          <w:lang w:val="vi-VN"/>
        </w:rPr>
        <w:t>9</w:t>
      </w:r>
      <w:r w:rsidRPr="00C62BC1">
        <w:rPr>
          <w:lang w:val="de-DE"/>
        </w:rPr>
        <w:t>%.</w:t>
      </w:r>
    </w:p>
    <w:p w14:paraId="32C7177A" w14:textId="77777777" w:rsidR="00586EE5" w:rsidRPr="00C62BC1" w:rsidRDefault="00586EE5" w:rsidP="00C62BC1">
      <w:pPr>
        <w:spacing w:after="120" w:line="264" w:lineRule="auto"/>
        <w:ind w:firstLine="720"/>
        <w:jc w:val="both"/>
        <w:rPr>
          <w:lang w:val="de-DE"/>
        </w:rPr>
      </w:pPr>
      <w:r w:rsidRPr="00C62BC1">
        <w:rPr>
          <w:lang w:val="de-DE"/>
        </w:rPr>
        <w:t>Sản lượng thủy sản nuôi trồng trong tháng ước đạt 625,7 nghìn tấn, tăng 5,</w:t>
      </w:r>
      <w:r w:rsidRPr="00C62BC1">
        <w:rPr>
          <w:lang w:val="vi-VN"/>
        </w:rPr>
        <w:t>4</w:t>
      </w:r>
      <w:r w:rsidRPr="00C62BC1">
        <w:rPr>
          <w:lang w:val="de-DE"/>
        </w:rPr>
        <w:t xml:space="preserve">% so với cùng kỳ năm trước, trong đó: Cá đạt 423,7 nghìn tấn, tăng </w:t>
      </w:r>
      <w:r w:rsidRPr="00C62BC1">
        <w:rPr>
          <w:lang w:val="vi-VN"/>
        </w:rPr>
        <w:t>5</w:t>
      </w:r>
      <w:r w:rsidRPr="00C62BC1">
        <w:rPr>
          <w:lang w:val="de-DE"/>
        </w:rPr>
        <w:t>,</w:t>
      </w:r>
      <w:r w:rsidRPr="00C62BC1">
        <w:rPr>
          <w:lang w:val="vi-VN"/>
        </w:rPr>
        <w:t>3</w:t>
      </w:r>
      <w:r w:rsidRPr="00C62BC1">
        <w:rPr>
          <w:lang w:val="de-DE"/>
        </w:rPr>
        <w:t>%; tôm đạt 1</w:t>
      </w:r>
      <w:r w:rsidRPr="00C62BC1">
        <w:rPr>
          <w:lang w:val="vi-VN"/>
        </w:rPr>
        <w:t>44,8</w:t>
      </w:r>
      <w:r w:rsidRPr="00C62BC1">
        <w:rPr>
          <w:lang w:val="de-DE"/>
        </w:rPr>
        <w:t xml:space="preserve"> nghìn tấn, tăng </w:t>
      </w:r>
      <w:r w:rsidRPr="00C62BC1">
        <w:rPr>
          <w:lang w:val="vi-VN"/>
        </w:rPr>
        <w:t>5,2</w:t>
      </w:r>
      <w:r w:rsidRPr="00C62BC1">
        <w:rPr>
          <w:lang w:val="de-DE"/>
        </w:rPr>
        <w:t>%.</w:t>
      </w:r>
    </w:p>
    <w:p w14:paraId="1ADC62CA" w14:textId="77777777" w:rsidR="00586EE5" w:rsidRPr="00C62BC1" w:rsidRDefault="00586EE5" w:rsidP="00C62BC1">
      <w:pPr>
        <w:spacing w:after="120" w:line="264" w:lineRule="auto"/>
        <w:ind w:firstLine="720"/>
        <w:jc w:val="both"/>
        <w:rPr>
          <w:lang w:val="de-DE"/>
        </w:rPr>
      </w:pPr>
      <w:r w:rsidRPr="00C62BC1">
        <w:rPr>
          <w:lang w:val="de-DE"/>
        </w:rPr>
        <w:t xml:space="preserve">Sản lượng thu hoạch cá tra trong tháng tăng so với cùng kỳ năm trước do giá cá tra nguyên liệu </w:t>
      </w:r>
      <w:r w:rsidRPr="00C62BC1">
        <w:rPr>
          <w:lang w:val="vi-VN"/>
        </w:rPr>
        <w:t>tăng</w:t>
      </w:r>
      <w:r w:rsidRPr="00C62BC1">
        <w:rPr>
          <w:vertAlign w:val="superscript"/>
          <w:lang w:val="de-DE"/>
        </w:rPr>
        <w:footnoteReference w:id="7"/>
      </w:r>
      <w:r w:rsidRPr="00C62BC1">
        <w:rPr>
          <w:lang w:val="de-DE"/>
        </w:rPr>
        <w:t>, sản lượng cá tra thu hoạch bảo đảm nguồn nguyên liệu phục vụ chế biến xuất khẩu, tháng Mười Một ước đạt 213</w:t>
      </w:r>
      <w:r w:rsidRPr="00C62BC1">
        <w:rPr>
          <w:lang w:val="vi-VN"/>
        </w:rPr>
        <w:t>,5</w:t>
      </w:r>
      <w:r w:rsidRPr="00C62BC1">
        <w:rPr>
          <w:lang w:val="de-DE"/>
        </w:rPr>
        <w:t xml:space="preserve"> nghìn tấn, tăng </w:t>
      </w:r>
      <w:r w:rsidRPr="00C62BC1">
        <w:rPr>
          <w:lang w:val="vi-VN"/>
        </w:rPr>
        <w:t>6,4</w:t>
      </w:r>
      <w:r w:rsidRPr="00C62BC1">
        <w:rPr>
          <w:lang w:val="de-DE"/>
        </w:rPr>
        <w:t>% so với cùng kỳ năm trước.</w:t>
      </w:r>
    </w:p>
    <w:p w14:paraId="13C68D18" w14:textId="0CB89D7B" w:rsidR="00586EE5" w:rsidRPr="00C62BC1" w:rsidRDefault="00586EE5" w:rsidP="00C62BC1">
      <w:pPr>
        <w:spacing w:after="120" w:line="264" w:lineRule="auto"/>
        <w:ind w:firstLine="720"/>
        <w:jc w:val="both"/>
        <w:rPr>
          <w:spacing w:val="-2"/>
          <w:lang w:val="de-DE"/>
        </w:rPr>
      </w:pPr>
      <w:r w:rsidRPr="00C62BC1">
        <w:rPr>
          <w:spacing w:val="-2"/>
          <w:lang w:val="de-DE"/>
        </w:rPr>
        <w:t xml:space="preserve">Sản lượng tôm trong tháng tăng so với cùng kỳ năm trước do giá tôm nguyên liệu và nhu cầu xuất khẩu vào các thị trường lớn tăng nhẹ phục vụ nhu cầu cuối năm. Sản lượng tôm thẻ chân trắng tháng Mười Một ước đạt </w:t>
      </w:r>
      <w:r w:rsidRPr="00C62BC1">
        <w:rPr>
          <w:bCs/>
          <w:iCs/>
          <w:spacing w:val="-2"/>
          <w:shd w:val="clear" w:color="auto" w:fill="FFFFFF"/>
          <w:lang w:val="de-DE"/>
        </w:rPr>
        <w:t>104</w:t>
      </w:r>
      <w:r w:rsidRPr="00C62BC1">
        <w:rPr>
          <w:bCs/>
          <w:iCs/>
          <w:spacing w:val="-2"/>
          <w:shd w:val="clear" w:color="auto" w:fill="FFFFFF"/>
          <w:lang w:val="vi-VN"/>
        </w:rPr>
        <w:t>,8</w:t>
      </w:r>
      <w:r w:rsidRPr="00C62BC1">
        <w:rPr>
          <w:spacing w:val="-2"/>
          <w:lang w:val="de-DE"/>
        </w:rPr>
        <w:t xml:space="preserve"> nghìn tấn, tăng </w:t>
      </w:r>
      <w:r w:rsidRPr="00C62BC1">
        <w:rPr>
          <w:spacing w:val="-2"/>
          <w:lang w:val="vi-VN"/>
        </w:rPr>
        <w:t>5</w:t>
      </w:r>
      <w:r w:rsidRPr="00C62BC1">
        <w:rPr>
          <w:spacing w:val="-2"/>
          <w:lang w:val="de-DE"/>
        </w:rPr>
        <w:t>,</w:t>
      </w:r>
      <w:r w:rsidRPr="00C62BC1">
        <w:rPr>
          <w:spacing w:val="-2"/>
          <w:lang w:val="vi-VN"/>
        </w:rPr>
        <w:t>9</w:t>
      </w:r>
      <w:r w:rsidRPr="00C62BC1">
        <w:rPr>
          <w:spacing w:val="-2"/>
          <w:lang w:val="de-DE"/>
        </w:rPr>
        <w:t>% so với cùng kỳ năm trước; sản lượng tôm sú đạt 32,</w:t>
      </w:r>
      <w:r w:rsidRPr="00C62BC1">
        <w:rPr>
          <w:spacing w:val="-2"/>
          <w:lang w:val="vi-VN"/>
        </w:rPr>
        <w:t>1</w:t>
      </w:r>
      <w:r w:rsidRPr="00C62BC1">
        <w:rPr>
          <w:spacing w:val="-2"/>
          <w:lang w:val="de-DE"/>
        </w:rPr>
        <w:t xml:space="preserve"> nghìn tấn, tăng </w:t>
      </w:r>
      <w:r w:rsidRPr="00C62BC1">
        <w:rPr>
          <w:spacing w:val="-2"/>
          <w:lang w:val="vi-VN"/>
        </w:rPr>
        <w:t>3</w:t>
      </w:r>
      <w:r w:rsidRPr="00C62BC1">
        <w:rPr>
          <w:spacing w:val="-2"/>
          <w:lang w:val="de-DE"/>
        </w:rPr>
        <w:t>,</w:t>
      </w:r>
      <w:r w:rsidRPr="00C62BC1">
        <w:rPr>
          <w:spacing w:val="-2"/>
          <w:lang w:val="vi-VN"/>
        </w:rPr>
        <w:t>2</w:t>
      </w:r>
      <w:r w:rsidRPr="00C62BC1">
        <w:rPr>
          <w:spacing w:val="-2"/>
          <w:lang w:val="de-DE"/>
        </w:rPr>
        <w:t>%.</w:t>
      </w:r>
    </w:p>
    <w:p w14:paraId="431F7D8D" w14:textId="77777777" w:rsidR="00586EE5" w:rsidRDefault="00586EE5" w:rsidP="00C62BC1">
      <w:pPr>
        <w:spacing w:after="120" w:line="264" w:lineRule="auto"/>
        <w:ind w:firstLine="720"/>
        <w:jc w:val="both"/>
        <w:rPr>
          <w:lang w:val="de-DE"/>
        </w:rPr>
      </w:pPr>
      <w:r w:rsidRPr="00C62BC1">
        <w:rPr>
          <w:lang w:val="de-DE"/>
        </w:rPr>
        <w:t>Sản lượng thủy sản khai thác trong tháng ước đạt 278,</w:t>
      </w:r>
      <w:r w:rsidRPr="00C62BC1">
        <w:rPr>
          <w:lang w:val="vi-VN"/>
        </w:rPr>
        <w:t>8</w:t>
      </w:r>
      <w:r w:rsidRPr="00C62BC1">
        <w:rPr>
          <w:lang w:val="de-DE"/>
        </w:rPr>
        <w:t xml:space="preserve"> nghìn tấn, </w:t>
      </w:r>
      <w:r w:rsidRPr="00C62BC1">
        <w:rPr>
          <w:lang w:val="vi-VN"/>
        </w:rPr>
        <w:t>giảm</w:t>
      </w:r>
      <w:r w:rsidRPr="00C62BC1">
        <w:rPr>
          <w:lang w:val="de-DE"/>
        </w:rPr>
        <w:t xml:space="preserve"> 3,</w:t>
      </w:r>
      <w:r w:rsidRPr="00C62BC1">
        <w:rPr>
          <w:lang w:val="vi-VN"/>
        </w:rPr>
        <w:t>2</w:t>
      </w:r>
      <w:r w:rsidRPr="00C62BC1">
        <w:rPr>
          <w:lang w:val="de-DE"/>
        </w:rPr>
        <w:t xml:space="preserve">% so với cùng kỳ năm trước do thời tiết </w:t>
      </w:r>
      <w:r w:rsidRPr="00C62BC1">
        <w:rPr>
          <w:lang w:val="vi-VN"/>
        </w:rPr>
        <w:t>bất</w:t>
      </w:r>
      <w:r w:rsidRPr="00C62BC1">
        <w:rPr>
          <w:lang w:val="de-DE"/>
        </w:rPr>
        <w:t xml:space="preserve"> lợi</w:t>
      </w:r>
      <w:r w:rsidRPr="00C62BC1">
        <w:rPr>
          <w:lang w:val="vi-VN"/>
        </w:rPr>
        <w:t xml:space="preserve"> </w:t>
      </w:r>
      <w:r w:rsidRPr="00C62BC1">
        <w:rPr>
          <w:lang w:val="de-DE"/>
        </w:rPr>
        <w:t xml:space="preserve">bởi cơn bão số 13 và hoàn lưu sau bão, các phương tiện nằm bờ tránh bão đã ảnh hưởng trực tiếp hoạt động khai thác thủy sản biển, trong đó: Cá đạt 209,8 nghìn tấn, </w:t>
      </w:r>
      <w:r w:rsidRPr="00C62BC1">
        <w:rPr>
          <w:lang w:val="vi-VN"/>
        </w:rPr>
        <w:t>giảm</w:t>
      </w:r>
      <w:r w:rsidRPr="00C62BC1">
        <w:rPr>
          <w:lang w:val="de-DE"/>
        </w:rPr>
        <w:t xml:space="preserve"> 2,</w:t>
      </w:r>
      <w:r w:rsidRPr="00C62BC1">
        <w:rPr>
          <w:lang w:val="vi-VN"/>
        </w:rPr>
        <w:t>9</w:t>
      </w:r>
      <w:r w:rsidRPr="00C62BC1">
        <w:rPr>
          <w:lang w:val="de-DE"/>
        </w:rPr>
        <w:t>%; tôm đạt 1</w:t>
      </w:r>
      <w:r w:rsidRPr="00C62BC1">
        <w:rPr>
          <w:lang w:val="vi-VN"/>
        </w:rPr>
        <w:t>3</w:t>
      </w:r>
      <w:r w:rsidRPr="00C62BC1">
        <w:rPr>
          <w:lang w:val="de-DE"/>
        </w:rPr>
        <w:t>,</w:t>
      </w:r>
      <w:r w:rsidRPr="00C62BC1">
        <w:rPr>
          <w:lang w:val="vi-VN"/>
        </w:rPr>
        <w:t>0</w:t>
      </w:r>
      <w:r w:rsidRPr="00C62BC1">
        <w:rPr>
          <w:lang w:val="de-DE"/>
        </w:rPr>
        <w:t xml:space="preserve"> nghìn tấn, </w:t>
      </w:r>
      <w:r w:rsidRPr="00C62BC1">
        <w:rPr>
          <w:lang w:val="vi-VN"/>
        </w:rPr>
        <w:t>giảm</w:t>
      </w:r>
      <w:r w:rsidRPr="00C62BC1">
        <w:rPr>
          <w:lang w:val="de-DE"/>
        </w:rPr>
        <w:t xml:space="preserve"> 2,</w:t>
      </w:r>
      <w:r w:rsidRPr="00C62BC1">
        <w:rPr>
          <w:lang w:val="vi-VN"/>
        </w:rPr>
        <w:t>3</w:t>
      </w:r>
      <w:r w:rsidRPr="00C62BC1">
        <w:rPr>
          <w:lang w:val="de-DE"/>
        </w:rPr>
        <w:t>%; thủy sản khác đạt 56,</w:t>
      </w:r>
      <w:r w:rsidRPr="00C62BC1">
        <w:rPr>
          <w:lang w:val="vi-VN"/>
        </w:rPr>
        <w:t>0</w:t>
      </w:r>
      <w:r w:rsidRPr="00C62BC1">
        <w:rPr>
          <w:lang w:val="de-DE"/>
        </w:rPr>
        <w:t xml:space="preserve"> nghìn tấn, giảm 4,</w:t>
      </w:r>
      <w:r w:rsidRPr="00C62BC1">
        <w:rPr>
          <w:lang w:val="vi-VN"/>
        </w:rPr>
        <w:t>3</w:t>
      </w:r>
      <w:r w:rsidRPr="00C62BC1">
        <w:rPr>
          <w:lang w:val="de-DE"/>
        </w:rPr>
        <w:t>%. Sản lượng thủy sản khai thác biển ước đạt 259</w:t>
      </w:r>
      <w:r w:rsidRPr="00C62BC1">
        <w:rPr>
          <w:lang w:val="vi-VN"/>
        </w:rPr>
        <w:t>,5</w:t>
      </w:r>
      <w:r w:rsidRPr="00C62BC1">
        <w:rPr>
          <w:lang w:val="de-DE"/>
        </w:rPr>
        <w:t xml:space="preserve"> nghìn tấn, </w:t>
      </w:r>
      <w:r w:rsidRPr="00C62BC1">
        <w:rPr>
          <w:lang w:val="vi-VN"/>
        </w:rPr>
        <w:t>giảm</w:t>
      </w:r>
      <w:r w:rsidRPr="00C62BC1">
        <w:rPr>
          <w:lang w:val="de-DE"/>
        </w:rPr>
        <w:t xml:space="preserve"> 2,</w:t>
      </w:r>
      <w:r w:rsidRPr="00C62BC1">
        <w:rPr>
          <w:lang w:val="vi-VN"/>
        </w:rPr>
        <w:t>8</w:t>
      </w:r>
      <w:r w:rsidRPr="00C62BC1">
        <w:rPr>
          <w:lang w:val="de-DE"/>
        </w:rPr>
        <w:t xml:space="preserve">% so với cùng kỳ năm trước, trong đó: Cá đạt </w:t>
      </w:r>
      <w:r w:rsidRPr="00C62BC1">
        <w:rPr>
          <w:lang w:val="vi-VN"/>
        </w:rPr>
        <w:t>1</w:t>
      </w:r>
      <w:r w:rsidRPr="00C62BC1">
        <w:rPr>
          <w:lang w:val="de-DE"/>
        </w:rPr>
        <w:t>98,</w:t>
      </w:r>
      <w:r w:rsidRPr="00C62BC1">
        <w:rPr>
          <w:lang w:val="vi-VN"/>
        </w:rPr>
        <w:t>0</w:t>
      </w:r>
      <w:r w:rsidRPr="00C62BC1">
        <w:rPr>
          <w:lang w:val="de-DE"/>
        </w:rPr>
        <w:t xml:space="preserve"> nghìn tấn, </w:t>
      </w:r>
      <w:r w:rsidRPr="00C62BC1">
        <w:rPr>
          <w:lang w:val="vi-VN"/>
        </w:rPr>
        <w:t>giảm</w:t>
      </w:r>
      <w:r w:rsidRPr="00C62BC1">
        <w:rPr>
          <w:lang w:val="de-DE"/>
        </w:rPr>
        <w:t xml:space="preserve"> 2,</w:t>
      </w:r>
      <w:r w:rsidRPr="00C62BC1">
        <w:rPr>
          <w:lang w:val="vi-VN"/>
        </w:rPr>
        <w:t>6</w:t>
      </w:r>
      <w:r w:rsidRPr="00C62BC1">
        <w:rPr>
          <w:lang w:val="de-DE"/>
        </w:rPr>
        <w:t xml:space="preserve">%; tôm </w:t>
      </w:r>
      <w:r w:rsidRPr="00C62BC1">
        <w:rPr>
          <w:lang w:val="vi-VN"/>
        </w:rPr>
        <w:t xml:space="preserve">ước </w:t>
      </w:r>
      <w:r w:rsidRPr="00C62BC1">
        <w:rPr>
          <w:lang w:val="de-DE"/>
        </w:rPr>
        <w:t xml:space="preserve">đạt </w:t>
      </w:r>
      <w:r w:rsidRPr="00C62BC1">
        <w:rPr>
          <w:lang w:val="vi-VN"/>
        </w:rPr>
        <w:t>12</w:t>
      </w:r>
      <w:r w:rsidRPr="00C62BC1">
        <w:rPr>
          <w:lang w:val="de-DE"/>
        </w:rPr>
        <w:t>,</w:t>
      </w:r>
      <w:r w:rsidRPr="00C62BC1">
        <w:rPr>
          <w:lang w:val="vi-VN"/>
        </w:rPr>
        <w:t>5</w:t>
      </w:r>
      <w:r w:rsidRPr="00C62BC1">
        <w:rPr>
          <w:lang w:val="de-DE"/>
        </w:rPr>
        <w:t xml:space="preserve"> nghìn tấn, </w:t>
      </w:r>
      <w:r w:rsidRPr="00C62BC1">
        <w:rPr>
          <w:lang w:val="vi-VN"/>
        </w:rPr>
        <w:t>giảm</w:t>
      </w:r>
      <w:r w:rsidRPr="00C62BC1">
        <w:rPr>
          <w:lang w:val="de-DE"/>
        </w:rPr>
        <w:t xml:space="preserve"> </w:t>
      </w:r>
      <w:r w:rsidRPr="00C62BC1">
        <w:rPr>
          <w:lang w:val="vi-VN"/>
        </w:rPr>
        <w:t>1</w:t>
      </w:r>
      <w:r w:rsidRPr="00C62BC1">
        <w:rPr>
          <w:lang w:val="de-DE"/>
        </w:rPr>
        <w:t>,</w:t>
      </w:r>
      <w:r w:rsidRPr="00C62BC1">
        <w:rPr>
          <w:lang w:val="vi-VN"/>
        </w:rPr>
        <w:t>6</w:t>
      </w:r>
      <w:r w:rsidRPr="00C62BC1">
        <w:rPr>
          <w:lang w:val="de-DE"/>
        </w:rPr>
        <w:t>%; thủy sản khác đạt 49,</w:t>
      </w:r>
      <w:r w:rsidRPr="00C62BC1">
        <w:rPr>
          <w:lang w:val="vi-VN"/>
        </w:rPr>
        <w:t>0</w:t>
      </w:r>
      <w:r w:rsidRPr="00C62BC1">
        <w:rPr>
          <w:lang w:val="de-DE"/>
        </w:rPr>
        <w:t xml:space="preserve"> nghìn tấn, </w:t>
      </w:r>
      <w:r w:rsidRPr="00C62BC1">
        <w:rPr>
          <w:lang w:val="vi-VN"/>
        </w:rPr>
        <w:t>giảm</w:t>
      </w:r>
      <w:r w:rsidRPr="00C62BC1">
        <w:rPr>
          <w:lang w:val="de-DE"/>
        </w:rPr>
        <w:t xml:space="preserve"> </w:t>
      </w:r>
      <w:r w:rsidRPr="00C62BC1">
        <w:rPr>
          <w:lang w:val="vi-VN"/>
        </w:rPr>
        <w:t>3</w:t>
      </w:r>
      <w:r w:rsidRPr="00C62BC1">
        <w:rPr>
          <w:lang w:val="de-DE"/>
        </w:rPr>
        <w:t>,</w:t>
      </w:r>
      <w:r w:rsidRPr="00C62BC1">
        <w:rPr>
          <w:lang w:val="vi-VN"/>
        </w:rPr>
        <w:t>9</w:t>
      </w:r>
      <w:r w:rsidRPr="00C62BC1">
        <w:rPr>
          <w:lang w:val="de-DE"/>
        </w:rPr>
        <w:t>%.</w:t>
      </w:r>
    </w:p>
    <w:p w14:paraId="299BE684" w14:textId="77777777" w:rsidR="00C62BC1" w:rsidRPr="00C62BC1" w:rsidRDefault="00C62BC1" w:rsidP="00C62BC1">
      <w:pPr>
        <w:spacing w:after="120" w:line="264" w:lineRule="auto"/>
        <w:ind w:firstLine="720"/>
        <w:jc w:val="both"/>
        <w:rPr>
          <w:b/>
          <w:bCs/>
          <w:spacing w:val="-4"/>
          <w:lang w:val="pl-PL"/>
        </w:rPr>
      </w:pPr>
      <w:r w:rsidRPr="00C62BC1">
        <w:rPr>
          <w:spacing w:val="-4"/>
          <w:lang w:val="de-DE"/>
        </w:rPr>
        <w:t xml:space="preserve">Tính chung </w:t>
      </w:r>
      <w:r w:rsidRPr="00C62BC1">
        <w:rPr>
          <w:spacing w:val="-4"/>
          <w:lang w:val="vi-VN"/>
        </w:rPr>
        <w:t>mười</w:t>
      </w:r>
      <w:r w:rsidRPr="00C62BC1">
        <w:rPr>
          <w:spacing w:val="-4"/>
          <w:lang w:val="de-DE"/>
        </w:rPr>
        <w:t xml:space="preserve"> một tháng năm 2025, sản lượng thủy sản ước đạt </w:t>
      </w:r>
      <w:r w:rsidRPr="00C62BC1">
        <w:rPr>
          <w:spacing w:val="-4"/>
          <w:lang w:val="en-GB"/>
        </w:rPr>
        <w:t>9.049,6</w:t>
      </w:r>
      <w:r w:rsidRPr="00C62BC1">
        <w:rPr>
          <w:spacing w:val="-4"/>
          <w:lang w:val="vi-VN"/>
        </w:rPr>
        <w:t xml:space="preserve"> </w:t>
      </w:r>
      <w:r w:rsidRPr="00C62BC1">
        <w:rPr>
          <w:spacing w:val="-4"/>
          <w:lang w:val="en-GB"/>
        </w:rPr>
        <w:t xml:space="preserve">nghìn tấn, tăng </w:t>
      </w:r>
      <w:r w:rsidRPr="00C62BC1">
        <w:rPr>
          <w:spacing w:val="-4"/>
          <w:lang w:val="vi-VN"/>
        </w:rPr>
        <w:t>2,9</w:t>
      </w:r>
      <w:r w:rsidRPr="00C62BC1">
        <w:rPr>
          <w:spacing w:val="-4"/>
          <w:lang w:val="en-GB"/>
        </w:rPr>
        <w:t>%</w:t>
      </w:r>
      <w:r w:rsidRPr="00C62BC1">
        <w:rPr>
          <w:spacing w:val="-4"/>
          <w:lang w:val="de-DE"/>
        </w:rPr>
        <w:t xml:space="preserve"> so với cùng kỳ năm trước, trong đó: Cá đạt </w:t>
      </w:r>
      <w:r w:rsidRPr="00C62BC1">
        <w:rPr>
          <w:spacing w:val="-4"/>
          <w:lang w:val="en-GB"/>
        </w:rPr>
        <w:t>6.362</w:t>
      </w:r>
      <w:r w:rsidRPr="00C62BC1">
        <w:rPr>
          <w:spacing w:val="-4"/>
          <w:lang w:val="vi-VN"/>
        </w:rPr>
        <w:t>,</w:t>
      </w:r>
      <w:r w:rsidRPr="00C62BC1">
        <w:rPr>
          <w:spacing w:val="-4"/>
          <w:lang w:val="en-GB"/>
        </w:rPr>
        <w:t>4</w:t>
      </w:r>
      <w:r w:rsidRPr="00C62BC1">
        <w:rPr>
          <w:spacing w:val="-4"/>
          <w:lang w:val="vi-VN"/>
        </w:rPr>
        <w:t xml:space="preserve"> </w:t>
      </w:r>
      <w:r w:rsidRPr="00C62BC1">
        <w:rPr>
          <w:spacing w:val="-4"/>
          <w:lang w:val="en-GB"/>
        </w:rPr>
        <w:t>nghìn tấn, tăng 2,</w:t>
      </w:r>
      <w:r w:rsidRPr="00C62BC1">
        <w:rPr>
          <w:spacing w:val="-4"/>
          <w:lang w:val="vi-VN"/>
        </w:rPr>
        <w:t>6</w:t>
      </w:r>
      <w:r w:rsidRPr="00C62BC1">
        <w:rPr>
          <w:spacing w:val="-4"/>
          <w:lang w:val="en-GB"/>
        </w:rPr>
        <w:t>%; tôm đạt 1.413,9 nghìn tấn, tăng 5,</w:t>
      </w:r>
      <w:r w:rsidRPr="00C62BC1">
        <w:rPr>
          <w:spacing w:val="-4"/>
          <w:lang w:val="vi-VN"/>
        </w:rPr>
        <w:t>5</w:t>
      </w:r>
      <w:r w:rsidRPr="00C62BC1">
        <w:rPr>
          <w:spacing w:val="-4"/>
          <w:lang w:val="en-GB"/>
        </w:rPr>
        <w:t>%</w:t>
      </w:r>
      <w:r w:rsidRPr="00C62BC1">
        <w:rPr>
          <w:spacing w:val="-4"/>
          <w:lang w:val="de-DE"/>
        </w:rPr>
        <w:t>; thủy sản khác đạt 1.273,</w:t>
      </w:r>
      <w:r w:rsidRPr="00C62BC1">
        <w:rPr>
          <w:spacing w:val="-4"/>
          <w:lang w:val="vi-VN"/>
        </w:rPr>
        <w:t>3</w:t>
      </w:r>
      <w:r w:rsidRPr="00C62BC1">
        <w:rPr>
          <w:spacing w:val="-4"/>
          <w:lang w:val="de-DE"/>
        </w:rPr>
        <w:t xml:space="preserve"> nghìn tấn, tăng </w:t>
      </w:r>
      <w:r w:rsidRPr="00C62BC1">
        <w:rPr>
          <w:spacing w:val="-4"/>
          <w:lang w:val="vi-VN"/>
        </w:rPr>
        <w:t>1</w:t>
      </w:r>
      <w:r w:rsidRPr="00C62BC1">
        <w:rPr>
          <w:spacing w:val="-4"/>
          <w:lang w:val="de-DE"/>
        </w:rPr>
        <w:t>,</w:t>
      </w:r>
      <w:r w:rsidRPr="00C62BC1">
        <w:rPr>
          <w:spacing w:val="-4"/>
          <w:lang w:val="vi-VN"/>
        </w:rPr>
        <w:t>9</w:t>
      </w:r>
      <w:r w:rsidRPr="00C62BC1">
        <w:rPr>
          <w:spacing w:val="-4"/>
          <w:lang w:val="de-DE"/>
        </w:rPr>
        <w:t>%.</w:t>
      </w:r>
    </w:p>
    <w:p w14:paraId="68CD5DFF" w14:textId="77777777" w:rsidR="00C62BC1" w:rsidRPr="00C62BC1" w:rsidRDefault="00C62BC1" w:rsidP="00C62BC1">
      <w:pPr>
        <w:spacing w:after="120" w:line="264" w:lineRule="auto"/>
        <w:ind w:firstLine="720"/>
        <w:jc w:val="both"/>
        <w:rPr>
          <w:lang w:val="de-DE"/>
        </w:rPr>
      </w:pPr>
    </w:p>
    <w:p w14:paraId="2A206E07" w14:textId="51B6284D" w:rsidR="00586EE5" w:rsidRPr="00C62BC1" w:rsidRDefault="00586EE5" w:rsidP="00586EE5">
      <w:pPr>
        <w:spacing w:line="264" w:lineRule="auto"/>
        <w:ind w:firstLine="567"/>
        <w:jc w:val="center"/>
        <w:rPr>
          <w:lang w:val="af-ZA"/>
        </w:rPr>
      </w:pPr>
      <w:r w:rsidRPr="00C62BC1">
        <w:rPr>
          <w:rFonts w:ascii="Arial" w:hAnsi="Arial" w:cs="Arial"/>
          <w:b/>
          <w:bCs/>
          <w:sz w:val="24"/>
          <w:szCs w:val="24"/>
          <w:lang w:val="de-DE"/>
        </w:rPr>
        <w:lastRenderedPageBreak/>
        <w:t>Hình 3. Sản lượng thủy sản mười một tháng năm 2025</w:t>
      </w:r>
    </w:p>
    <w:p w14:paraId="15A7F0E6" w14:textId="055C7E44" w:rsidR="00586EE5" w:rsidRPr="00C62BC1" w:rsidRDefault="00586EE5" w:rsidP="00C62BC1">
      <w:pPr>
        <w:shd w:val="clear" w:color="auto" w:fill="FFFFFF"/>
        <w:tabs>
          <w:tab w:val="left" w:pos="9360"/>
        </w:tabs>
        <w:spacing w:line="264" w:lineRule="auto"/>
        <w:jc w:val="center"/>
        <w:rPr>
          <w:sz w:val="24"/>
          <w:szCs w:val="24"/>
          <w:lang w:val="en-GB" w:eastAsia="en-GB"/>
        </w:rPr>
      </w:pPr>
      <w:r w:rsidRPr="00C62BC1">
        <w:rPr>
          <w:rFonts w:ascii="Arial" w:hAnsi="Arial" w:cs="Arial"/>
          <w:b/>
          <w:bCs/>
          <w:sz w:val="24"/>
          <w:szCs w:val="24"/>
          <w:lang w:val="de-DE"/>
        </w:rPr>
        <w:t>so với cùng kỳ năm 2024</w:t>
      </w:r>
      <w:r w:rsidRPr="00C62BC1">
        <w:rPr>
          <w:noProof/>
          <w:sz w:val="24"/>
          <w:szCs w:val="24"/>
        </w:rPr>
        <w:drawing>
          <wp:inline distT="0" distB="0" distL="0" distR="0" wp14:anchorId="4861A25A" wp14:editId="7A7445A8">
            <wp:extent cx="5745192" cy="1865630"/>
            <wp:effectExtent l="0" t="0" r="8255" b="1270"/>
            <wp:docPr id="417973946" name="Picture 417973946" descr="D:\o D\vinhvanphong\Lâm nghiệp-Thủy sản\Năm 2025\Tháng 11\Thuy san _T10-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vinhvanphong\Lâm nghiệp-Thủy sản\Năm 2025\Tháng 11\Thuy san _T10-25-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20633" cy="1890128"/>
                    </a:xfrm>
                    <a:prstGeom prst="rect">
                      <a:avLst/>
                    </a:prstGeom>
                    <a:noFill/>
                    <a:ln>
                      <a:noFill/>
                    </a:ln>
                  </pic:spPr>
                </pic:pic>
              </a:graphicData>
            </a:graphic>
          </wp:inline>
        </w:drawing>
      </w:r>
    </w:p>
    <w:p w14:paraId="0CC8BDE1" w14:textId="42CA629E" w:rsidR="00BE5150" w:rsidRPr="00C62BC1" w:rsidRDefault="00796815" w:rsidP="00C62BC1">
      <w:pPr>
        <w:widowControl w:val="0"/>
        <w:spacing w:before="120" w:after="120" w:line="264" w:lineRule="auto"/>
        <w:ind w:firstLine="720"/>
        <w:jc w:val="both"/>
        <w:rPr>
          <w:b/>
          <w:bCs/>
          <w:lang w:val="pl-PL"/>
        </w:rPr>
      </w:pPr>
      <w:r w:rsidRPr="00C62BC1">
        <w:rPr>
          <w:b/>
          <w:bCs/>
          <w:lang w:val="pl-PL"/>
        </w:rPr>
        <w:t>2. Sản xuất công nghiệp</w:t>
      </w:r>
    </w:p>
    <w:p w14:paraId="2A74799A" w14:textId="77777777" w:rsidR="00EF7A8C" w:rsidRPr="00C62BC1" w:rsidRDefault="00EF7A8C" w:rsidP="006A050D">
      <w:pPr>
        <w:widowControl w:val="0"/>
        <w:shd w:val="clear" w:color="auto" w:fill="FFFFFF"/>
        <w:spacing w:after="120" w:line="264" w:lineRule="auto"/>
        <w:ind w:firstLine="720"/>
        <w:jc w:val="both"/>
        <w:rPr>
          <w:i/>
          <w:lang w:val="vi-VN"/>
        </w:rPr>
      </w:pPr>
      <w:r w:rsidRPr="00C62BC1">
        <w:rPr>
          <w:i/>
          <w:lang w:val="sv-SE"/>
        </w:rPr>
        <w:t xml:space="preserve">Sản xuất công nghiệp trong tháng Mười Một tiếp tục duy trì xu hướng tăng trưởng tích cực do các doanh nghiệp tăng cường sản xuất để chuẩn bị nguồn hàng phục vụ nhu cầu tiêu dùng trong nước và xuất khẩu cuối năm. Chỉ số sản xuất công nghiệp tháng Mười Một ước tăng </w:t>
      </w:r>
      <w:r w:rsidRPr="00C62BC1">
        <w:rPr>
          <w:i/>
          <w:lang w:val="de-DE"/>
        </w:rPr>
        <w:t>2</w:t>
      </w:r>
      <w:r w:rsidRPr="00C62BC1">
        <w:rPr>
          <w:i/>
          <w:lang w:val="vi-VN"/>
        </w:rPr>
        <w:t>,</w:t>
      </w:r>
      <w:r w:rsidRPr="00C62BC1">
        <w:rPr>
          <w:i/>
          <w:lang w:val="sv-SE"/>
        </w:rPr>
        <w:t>3</w:t>
      </w:r>
      <w:r w:rsidRPr="00C62BC1">
        <w:rPr>
          <w:i/>
          <w:lang w:val="vi-VN"/>
        </w:rPr>
        <w:t xml:space="preserve">% </w:t>
      </w:r>
      <w:r w:rsidRPr="00C62BC1">
        <w:rPr>
          <w:i/>
          <w:lang w:val="sv-SE"/>
        </w:rPr>
        <w:t>so với tháng trước và tăng 10</w:t>
      </w:r>
      <w:r w:rsidRPr="00C62BC1">
        <w:rPr>
          <w:i/>
          <w:lang w:val="vi-VN"/>
        </w:rPr>
        <w:t>,8</w:t>
      </w:r>
      <w:r w:rsidRPr="00C62BC1">
        <w:rPr>
          <w:i/>
          <w:lang w:val="sv-SE"/>
        </w:rPr>
        <w:t>% so với cùng kỳ năm trước</w:t>
      </w:r>
      <w:r w:rsidRPr="00C62BC1">
        <w:rPr>
          <w:rFonts w:eastAsia="DengXian Light"/>
          <w:i/>
          <w:vertAlign w:val="superscript"/>
          <w:lang w:val="vi-VN"/>
        </w:rPr>
        <w:footnoteReference w:id="8"/>
      </w:r>
      <w:r w:rsidRPr="00C62BC1">
        <w:rPr>
          <w:i/>
          <w:lang w:val="sv-SE"/>
        </w:rPr>
        <w:t>. Tính chung mười một tháng năm 2025, chỉ số sản xuất công nghiệp tăng 9</w:t>
      </w:r>
      <w:r w:rsidRPr="00C62BC1">
        <w:rPr>
          <w:i/>
          <w:lang w:val="vi-VN"/>
        </w:rPr>
        <w:t>,</w:t>
      </w:r>
      <w:r w:rsidRPr="00C62BC1">
        <w:rPr>
          <w:i/>
          <w:lang w:val="sv-SE"/>
        </w:rPr>
        <w:t>3% so với cùng kỳ năm trước.</w:t>
      </w:r>
    </w:p>
    <w:p w14:paraId="5169CC61" w14:textId="77777777" w:rsidR="00EF7A8C" w:rsidRPr="00C62BC1" w:rsidRDefault="00EF7A8C" w:rsidP="006A050D">
      <w:pPr>
        <w:widowControl w:val="0"/>
        <w:shd w:val="clear" w:color="auto" w:fill="FFFFFF"/>
        <w:tabs>
          <w:tab w:val="left" w:pos="8931"/>
        </w:tabs>
        <w:spacing w:after="120" w:line="264" w:lineRule="auto"/>
        <w:ind w:firstLine="720"/>
        <w:jc w:val="both"/>
        <w:rPr>
          <w:lang w:val="pl-PL"/>
        </w:rPr>
      </w:pPr>
      <w:r w:rsidRPr="00C62BC1">
        <w:rPr>
          <w:i/>
          <w:lang w:val="pl-PL"/>
        </w:rPr>
        <w:t xml:space="preserve">Chỉ số sản xuất công nghiệp (IIP) tháng </w:t>
      </w:r>
      <w:r w:rsidRPr="00C62BC1">
        <w:rPr>
          <w:i/>
          <w:lang w:val="sv-SE"/>
        </w:rPr>
        <w:t>Mười</w:t>
      </w:r>
      <w:r w:rsidRPr="00C62BC1">
        <w:rPr>
          <w:lang w:val="pl-PL"/>
        </w:rPr>
        <w:t xml:space="preserve"> </w:t>
      </w:r>
      <w:r w:rsidRPr="00C62BC1">
        <w:rPr>
          <w:i/>
          <w:lang w:val="pl-PL"/>
        </w:rPr>
        <w:t>Một</w:t>
      </w:r>
      <w:r w:rsidRPr="00C62BC1">
        <w:rPr>
          <w:lang w:val="pl-PL"/>
        </w:rPr>
        <w:t xml:space="preserve"> ước </w:t>
      </w:r>
      <w:r w:rsidRPr="00C62BC1">
        <w:rPr>
          <w:lang w:val="sv-SE"/>
        </w:rPr>
        <w:t>tăng 2</w:t>
      </w:r>
      <w:r w:rsidRPr="00C62BC1">
        <w:rPr>
          <w:lang w:val="vi-VN"/>
        </w:rPr>
        <w:t>,3%</w:t>
      </w:r>
      <w:r w:rsidRPr="00C62BC1">
        <w:rPr>
          <w:lang w:val="pl-PL"/>
        </w:rPr>
        <w:t xml:space="preserve"> so với tháng trước</w:t>
      </w:r>
      <w:r w:rsidRPr="00C62BC1">
        <w:rPr>
          <w:rFonts w:eastAsia="DengXian Light"/>
          <w:vertAlign w:val="superscript"/>
          <w:lang w:val="pl-PL"/>
        </w:rPr>
        <w:footnoteReference w:id="9"/>
      </w:r>
      <w:r w:rsidRPr="00C62BC1">
        <w:rPr>
          <w:lang w:val="pl-PL"/>
        </w:rPr>
        <w:t xml:space="preserve"> và tăng </w:t>
      </w:r>
      <w:r w:rsidRPr="00C62BC1">
        <w:rPr>
          <w:lang w:val="sv-SE"/>
        </w:rPr>
        <w:t>10</w:t>
      </w:r>
      <w:r w:rsidRPr="00C62BC1">
        <w:rPr>
          <w:lang w:val="vi-VN"/>
        </w:rPr>
        <w:t>,8</w:t>
      </w:r>
      <w:r w:rsidRPr="00C62BC1">
        <w:rPr>
          <w:lang w:val="pl-PL"/>
        </w:rPr>
        <w:t>% so với cùng kỳ năm trước</w:t>
      </w:r>
      <w:r w:rsidRPr="00C62BC1">
        <w:rPr>
          <w:lang w:val="vi-VN"/>
        </w:rPr>
        <w:t>. T</w:t>
      </w:r>
      <w:r w:rsidRPr="00C62BC1">
        <w:rPr>
          <w:lang w:val="pl-PL"/>
        </w:rPr>
        <w:t>rong đó</w:t>
      </w:r>
      <w:r w:rsidRPr="00C62BC1">
        <w:rPr>
          <w:lang w:val="vi-VN"/>
        </w:rPr>
        <w:t xml:space="preserve">, </w:t>
      </w:r>
      <w:r w:rsidRPr="00C62BC1">
        <w:rPr>
          <w:lang w:val="pl-PL"/>
        </w:rPr>
        <w:t xml:space="preserve">ngành chế biến, chế tạo tăng </w:t>
      </w:r>
      <w:r w:rsidRPr="00C62BC1">
        <w:rPr>
          <w:lang w:val="vi-VN"/>
        </w:rPr>
        <w:t>11,8</w:t>
      </w:r>
      <w:r w:rsidRPr="00C62BC1">
        <w:rPr>
          <w:lang w:val="pl-PL"/>
        </w:rPr>
        <w:t xml:space="preserve">% so với cùng kỳ năm trước; ngành khai khoáng tăng 7,0%; </w:t>
      </w:r>
      <w:r w:rsidRPr="00C62BC1">
        <w:rPr>
          <w:lang w:val="vi-VN"/>
        </w:rPr>
        <w:t xml:space="preserve">ngành </w:t>
      </w:r>
      <w:r w:rsidRPr="00C62BC1">
        <w:rPr>
          <w:lang w:val="pl-PL"/>
        </w:rPr>
        <w:t xml:space="preserve">cung cấp nước, hoạt động quản lý và xử lý rác thải, nước thải tăng 6,5%; sản xuất và phân phối điện tăng 5,8%.  </w:t>
      </w:r>
    </w:p>
    <w:p w14:paraId="62D2915C" w14:textId="77777777" w:rsidR="00EF7A8C" w:rsidRPr="00C62BC1" w:rsidRDefault="00EF7A8C" w:rsidP="006A050D">
      <w:pPr>
        <w:widowControl w:val="0"/>
        <w:shd w:val="clear" w:color="auto" w:fill="FFFFFF"/>
        <w:tabs>
          <w:tab w:val="left" w:pos="8931"/>
        </w:tabs>
        <w:spacing w:after="120" w:line="264" w:lineRule="auto"/>
        <w:ind w:firstLine="720"/>
        <w:jc w:val="both"/>
        <w:rPr>
          <w:spacing w:val="-2"/>
          <w:lang w:val="pl-PL"/>
        </w:rPr>
      </w:pPr>
      <w:r w:rsidRPr="00C62BC1">
        <w:rPr>
          <w:i/>
          <w:spacing w:val="-2"/>
          <w:lang w:val="pl-PL"/>
        </w:rPr>
        <w:t>Tính chung mười một tháng năm 2025</w:t>
      </w:r>
      <w:r w:rsidRPr="00C62BC1">
        <w:rPr>
          <w:spacing w:val="-2"/>
          <w:lang w:val="pl-PL"/>
        </w:rPr>
        <w:t>, IIP ước tăng 9</w:t>
      </w:r>
      <w:r w:rsidRPr="00C62BC1">
        <w:rPr>
          <w:spacing w:val="-2"/>
          <w:lang w:val="vi-VN"/>
        </w:rPr>
        <w:t>,</w:t>
      </w:r>
      <w:r w:rsidRPr="00C62BC1">
        <w:rPr>
          <w:spacing w:val="-2"/>
          <w:lang w:val="pl-PL"/>
        </w:rPr>
        <w:t>3% so với cùng kỳ năm trước (</w:t>
      </w:r>
      <w:r w:rsidRPr="00C62BC1">
        <w:rPr>
          <w:spacing w:val="-2"/>
          <w:lang w:val="vi-VN"/>
        </w:rPr>
        <w:t>cùng kỳ năm 202</w:t>
      </w:r>
      <w:r w:rsidRPr="00C62BC1">
        <w:rPr>
          <w:spacing w:val="-2"/>
          <w:lang w:val="pl-PL"/>
        </w:rPr>
        <w:t>4</w:t>
      </w:r>
      <w:r w:rsidRPr="00C62BC1">
        <w:rPr>
          <w:spacing w:val="-2"/>
          <w:lang w:val="vi-VN"/>
        </w:rPr>
        <w:t xml:space="preserve"> tăng </w:t>
      </w:r>
      <w:r w:rsidRPr="00C62BC1">
        <w:rPr>
          <w:spacing w:val="-2"/>
          <w:lang w:val="pl-PL"/>
        </w:rPr>
        <w:t>8</w:t>
      </w:r>
      <w:r w:rsidRPr="00C62BC1">
        <w:rPr>
          <w:spacing w:val="-2"/>
          <w:lang w:val="vi-VN"/>
        </w:rPr>
        <w:t>,3%</w:t>
      </w:r>
      <w:r w:rsidRPr="00C62BC1">
        <w:rPr>
          <w:spacing w:val="-2"/>
          <w:lang w:val="pl-PL"/>
        </w:rPr>
        <w:t xml:space="preserve">). Trong đó, ngành chế biến, chế tạo tăng 10,6% (cùng kỳ năm 2024 </w:t>
      </w:r>
      <w:r w:rsidRPr="00C62BC1">
        <w:rPr>
          <w:spacing w:val="-2"/>
          <w:lang w:val="vi-VN"/>
        </w:rPr>
        <w:t>tăng</w:t>
      </w:r>
      <w:r w:rsidRPr="00C62BC1">
        <w:rPr>
          <w:spacing w:val="-2"/>
          <w:lang w:val="pl-PL"/>
        </w:rPr>
        <w:t xml:space="preserve"> 9</w:t>
      </w:r>
      <w:r w:rsidRPr="00C62BC1">
        <w:rPr>
          <w:spacing w:val="-2"/>
          <w:lang w:val="vi-VN"/>
        </w:rPr>
        <w:t>,</w:t>
      </w:r>
      <w:r w:rsidRPr="00C62BC1">
        <w:rPr>
          <w:spacing w:val="-2"/>
          <w:lang w:val="pl-PL"/>
        </w:rPr>
        <w:t>6%), đóng góp 8,5 điểm phần trăm vào mức tăng chung; ngành cung cấp nước, hoạt động quản lý và xử lý rác thải, nước thải tăng 8,4% (cùng kỳ năm 2024 tăng 10</w:t>
      </w:r>
      <w:r w:rsidRPr="00C62BC1">
        <w:rPr>
          <w:spacing w:val="-2"/>
          <w:lang w:val="vi-VN"/>
        </w:rPr>
        <w:t>,</w:t>
      </w:r>
      <w:r w:rsidRPr="00C62BC1">
        <w:rPr>
          <w:spacing w:val="-2"/>
          <w:lang w:val="pl-PL"/>
        </w:rPr>
        <w:t>2%), đóng góp 0,1 điểm phần trăm; ngành sản xuất và phân phối điện tăng 6</w:t>
      </w:r>
      <w:r w:rsidRPr="00C62BC1">
        <w:rPr>
          <w:spacing w:val="-2"/>
          <w:lang w:val="vi-VN"/>
        </w:rPr>
        <w:t>,</w:t>
      </w:r>
      <w:r w:rsidRPr="00C62BC1">
        <w:rPr>
          <w:spacing w:val="-2"/>
          <w:lang w:val="pl-PL"/>
        </w:rPr>
        <w:t xml:space="preserve">5% (cùng kỳ năm 2024 </w:t>
      </w:r>
      <w:r w:rsidRPr="00C62BC1">
        <w:rPr>
          <w:spacing w:val="-2"/>
          <w:lang w:val="vi-VN"/>
        </w:rPr>
        <w:t>tăng</w:t>
      </w:r>
      <w:r w:rsidRPr="00C62BC1">
        <w:rPr>
          <w:spacing w:val="-2"/>
          <w:lang w:val="pl-PL"/>
        </w:rPr>
        <w:t xml:space="preserve"> 9,8%), đóng góp 0,6 điểm phần trăm; ngành khai khoáng tăng 0</w:t>
      </w:r>
      <w:r w:rsidRPr="00C62BC1">
        <w:rPr>
          <w:spacing w:val="-2"/>
          <w:lang w:val="vi-VN"/>
        </w:rPr>
        <w:t>,</w:t>
      </w:r>
      <w:r w:rsidRPr="00C62BC1">
        <w:rPr>
          <w:spacing w:val="-2"/>
          <w:lang w:val="pl-PL"/>
        </w:rPr>
        <w:t xml:space="preserve">9% (cùng kỳ năm 2024 giảm 6,7%), tăng </w:t>
      </w:r>
      <w:r w:rsidRPr="00C62BC1">
        <w:rPr>
          <w:spacing w:val="-2"/>
          <w:lang w:val="vi-VN"/>
        </w:rPr>
        <w:t>0,</w:t>
      </w:r>
      <w:r w:rsidRPr="00C62BC1">
        <w:rPr>
          <w:spacing w:val="-2"/>
          <w:lang w:val="pl-PL"/>
        </w:rPr>
        <w:t>1 điểm phần trăm.</w:t>
      </w:r>
    </w:p>
    <w:p w14:paraId="431F5462" w14:textId="77777777" w:rsidR="00EF7A8C" w:rsidRPr="00C62BC1" w:rsidRDefault="00EF7A8C" w:rsidP="006A050D">
      <w:pPr>
        <w:widowControl w:val="0"/>
        <w:shd w:val="clear" w:color="auto" w:fill="FFFFFF"/>
        <w:tabs>
          <w:tab w:val="left" w:pos="8931"/>
        </w:tabs>
        <w:spacing w:after="120" w:line="264" w:lineRule="auto"/>
        <w:ind w:firstLine="720"/>
        <w:jc w:val="both"/>
        <w:rPr>
          <w:lang w:val="vi-VN"/>
        </w:rPr>
      </w:pPr>
      <w:r w:rsidRPr="00C62BC1">
        <w:rPr>
          <w:i/>
          <w:lang w:val="pl-PL"/>
        </w:rPr>
        <w:t>Chỉ số sản xuất công nghiệp mười một tháng năm 2025 của một số ngành trọng điểm cấp II tăng so với cùng kỳ năm trước</w:t>
      </w:r>
      <w:r w:rsidRPr="00C62BC1">
        <w:rPr>
          <w:lang w:val="pl-PL"/>
        </w:rPr>
        <w:t>: Sản xuất xe có động cơ tăng 22</w:t>
      </w:r>
      <w:r w:rsidRPr="00C62BC1">
        <w:rPr>
          <w:lang w:val="vi-VN"/>
        </w:rPr>
        <w:t>,</w:t>
      </w:r>
      <w:r w:rsidRPr="00C62BC1">
        <w:rPr>
          <w:lang w:val="pl-PL"/>
        </w:rPr>
        <w:t>0%; sản xuất sản phẩm từ khoáng phi kim loại khác tăng 16</w:t>
      </w:r>
      <w:r w:rsidRPr="00C62BC1">
        <w:rPr>
          <w:lang w:val="vi-VN"/>
        </w:rPr>
        <w:t>,</w:t>
      </w:r>
      <w:r w:rsidRPr="00C62BC1">
        <w:rPr>
          <w:lang w:val="pl-PL"/>
        </w:rPr>
        <w:t xml:space="preserve">5%; </w:t>
      </w:r>
      <w:r w:rsidRPr="00C62BC1">
        <w:rPr>
          <w:lang w:val="vi-VN"/>
        </w:rPr>
        <w:t>s</w:t>
      </w:r>
      <w:r w:rsidRPr="00C62BC1">
        <w:rPr>
          <w:lang w:val="pl-PL"/>
        </w:rPr>
        <w:t>ản xuất sản phẩm từ cao su và plastic tăng 16</w:t>
      </w:r>
      <w:r w:rsidRPr="00C62BC1">
        <w:rPr>
          <w:lang w:val="vi-VN"/>
        </w:rPr>
        <w:t>,</w:t>
      </w:r>
      <w:r w:rsidRPr="00C62BC1">
        <w:rPr>
          <w:lang w:val="pl-PL"/>
        </w:rPr>
        <w:t>4%</w:t>
      </w:r>
      <w:r w:rsidRPr="00C62BC1">
        <w:rPr>
          <w:lang w:val="vi-VN"/>
        </w:rPr>
        <w:t>; sản xuất kim loại tăng 1</w:t>
      </w:r>
      <w:r w:rsidRPr="00C62BC1">
        <w:rPr>
          <w:lang w:val="pl-PL"/>
        </w:rPr>
        <w:t>5,5</w:t>
      </w:r>
      <w:r w:rsidRPr="00C62BC1">
        <w:rPr>
          <w:lang w:val="vi-VN"/>
        </w:rPr>
        <w:t>%; s</w:t>
      </w:r>
      <w:r w:rsidRPr="00C62BC1">
        <w:rPr>
          <w:lang w:val="pl-PL"/>
        </w:rPr>
        <w:t xml:space="preserve">ản xuất </w:t>
      </w:r>
      <w:r w:rsidRPr="00C62BC1">
        <w:rPr>
          <w:lang w:val="pl-PL"/>
        </w:rPr>
        <w:lastRenderedPageBreak/>
        <w:t>trang phục tăng 13</w:t>
      </w:r>
      <w:r w:rsidRPr="00C62BC1">
        <w:rPr>
          <w:lang w:val="vi-VN"/>
        </w:rPr>
        <w:t>,</w:t>
      </w:r>
      <w:r w:rsidRPr="00C62BC1">
        <w:rPr>
          <w:lang w:val="pl-PL"/>
        </w:rPr>
        <w:t xml:space="preserve">5%; </w:t>
      </w:r>
      <w:r w:rsidRPr="00C62BC1">
        <w:rPr>
          <w:lang w:val="vi-VN"/>
        </w:rPr>
        <w:t>s</w:t>
      </w:r>
      <w:r w:rsidRPr="00C62BC1">
        <w:rPr>
          <w:lang w:val="pl-PL"/>
        </w:rPr>
        <w:t>ản xuất sản phẩm từ kim loại đúc sẵn (trừ máy móc, thiết bị) tăng 12</w:t>
      </w:r>
      <w:r w:rsidRPr="00C62BC1">
        <w:rPr>
          <w:lang w:val="vi-VN"/>
        </w:rPr>
        <w:t>,</w:t>
      </w:r>
      <w:r w:rsidRPr="00C62BC1">
        <w:rPr>
          <w:lang w:val="pl-PL"/>
        </w:rPr>
        <w:t xml:space="preserve">6%; sản xuất giấy và sản phẩm từ giấy tăng 11,6%; </w:t>
      </w:r>
      <w:r w:rsidRPr="00C62BC1">
        <w:rPr>
          <w:lang w:val="vi-VN"/>
        </w:rPr>
        <w:t>s</w:t>
      </w:r>
      <w:r w:rsidRPr="00C62BC1">
        <w:rPr>
          <w:lang w:val="pl-PL"/>
        </w:rPr>
        <w:t>ản xuất da và các sản phẩm có liên quan và sản xuất hóa chất và sản phẩm hóa chất cùng tăng 11</w:t>
      </w:r>
      <w:r w:rsidRPr="00C62BC1">
        <w:rPr>
          <w:lang w:val="vi-VN"/>
        </w:rPr>
        <w:t>,2</w:t>
      </w:r>
      <w:r w:rsidRPr="00C62BC1">
        <w:rPr>
          <w:lang w:val="pl-PL"/>
        </w:rPr>
        <w:t>%; s</w:t>
      </w:r>
      <w:r w:rsidRPr="00C62BC1">
        <w:rPr>
          <w:lang w:val="vi-VN"/>
        </w:rPr>
        <w:t>ản xuất than cốc, sản phẩm dầu mỏ tinh chế</w:t>
      </w:r>
      <w:r w:rsidRPr="00C62BC1">
        <w:rPr>
          <w:lang w:val="pl-PL"/>
        </w:rPr>
        <w:t xml:space="preserve"> tăng 10,6%; </w:t>
      </w:r>
      <w:r w:rsidRPr="00C62BC1">
        <w:rPr>
          <w:lang w:val="vi-VN"/>
        </w:rPr>
        <w:t>sản xuất chế biến thực phẩm tăng 10,</w:t>
      </w:r>
      <w:r w:rsidRPr="00C62BC1">
        <w:rPr>
          <w:lang w:val="pl-PL"/>
        </w:rPr>
        <w:t>5</w:t>
      </w:r>
      <w:r w:rsidRPr="00C62BC1">
        <w:rPr>
          <w:lang w:val="vi-VN"/>
        </w:rPr>
        <w:t xml:space="preserve">%; </w:t>
      </w:r>
      <w:r w:rsidRPr="00C62BC1">
        <w:rPr>
          <w:lang w:val="pl-PL"/>
        </w:rPr>
        <w:t xml:space="preserve">sản xuất giường, tủ, bàn, ghế </w:t>
      </w:r>
      <w:r w:rsidRPr="00C62BC1">
        <w:rPr>
          <w:lang w:val="vi-VN"/>
        </w:rPr>
        <w:t>tăng 10,</w:t>
      </w:r>
      <w:r w:rsidRPr="00C62BC1">
        <w:rPr>
          <w:lang w:val="pl-PL"/>
        </w:rPr>
        <w:t>1</w:t>
      </w:r>
      <w:r w:rsidRPr="00C62BC1">
        <w:rPr>
          <w:lang w:val="vi-VN"/>
        </w:rPr>
        <w:t>%;</w:t>
      </w:r>
      <w:r w:rsidRPr="00C62BC1">
        <w:rPr>
          <w:lang w:val="pl-PL"/>
        </w:rPr>
        <w:t xml:space="preserve"> </w:t>
      </w:r>
      <w:r w:rsidRPr="00C62BC1">
        <w:rPr>
          <w:lang w:val="vi-VN"/>
        </w:rPr>
        <w:t>sản xuất sản phẩm điện tử, máy vi tính và sản phẩm quang học tăng 8,</w:t>
      </w:r>
      <w:r w:rsidRPr="00C62BC1">
        <w:rPr>
          <w:lang w:val="pl-PL"/>
        </w:rPr>
        <w:t>5</w:t>
      </w:r>
      <w:r w:rsidRPr="00C62BC1">
        <w:rPr>
          <w:lang w:val="vi-VN"/>
        </w:rPr>
        <w:t xml:space="preserve">%. </w:t>
      </w:r>
      <w:r w:rsidRPr="00C62BC1">
        <w:rPr>
          <w:lang w:val="pl-PL"/>
        </w:rPr>
        <w:t>Ở chiều ngược lại, chỉ số IIP của một số ngành tăng</w:t>
      </w:r>
      <w:r w:rsidRPr="00C62BC1">
        <w:rPr>
          <w:lang w:val="vi-VN"/>
        </w:rPr>
        <w:t xml:space="preserve"> thấp hoặc </w:t>
      </w:r>
      <w:r w:rsidRPr="00C62BC1">
        <w:rPr>
          <w:lang w:val="pl-PL"/>
        </w:rPr>
        <w:t>giảm: Khai thác than cứng và than non</w:t>
      </w:r>
      <w:r w:rsidRPr="00C62BC1">
        <w:rPr>
          <w:lang w:val="vi-VN"/>
        </w:rPr>
        <w:t xml:space="preserve"> tăng 3,7%; </w:t>
      </w:r>
      <w:r w:rsidRPr="00C62BC1">
        <w:rPr>
          <w:lang w:val="pl-PL"/>
        </w:rPr>
        <w:t>khai thác dầu thô và khí đốt tự nhiên giảm 2,7%</w:t>
      </w:r>
      <w:r w:rsidRPr="00C62BC1">
        <w:rPr>
          <w:lang w:val="vi-VN"/>
        </w:rPr>
        <w:t>.</w:t>
      </w:r>
    </w:p>
    <w:p w14:paraId="23F504E7" w14:textId="77777777" w:rsidR="00EF7A8C" w:rsidRPr="00C62BC1" w:rsidRDefault="00EF7A8C" w:rsidP="00EF7A8C">
      <w:pPr>
        <w:shd w:val="clear" w:color="auto" w:fill="FFFFFF"/>
        <w:tabs>
          <w:tab w:val="left" w:pos="8931"/>
        </w:tabs>
        <w:spacing w:before="120" w:after="120" w:line="252" w:lineRule="auto"/>
        <w:jc w:val="center"/>
        <w:rPr>
          <w:rFonts w:ascii="Arial" w:hAnsi="Arial" w:cs="Arial"/>
          <w:b/>
          <w:sz w:val="24"/>
          <w:szCs w:val="22"/>
          <w:lang w:val="pl-PL"/>
        </w:rPr>
      </w:pPr>
      <w:r w:rsidRPr="00C62BC1">
        <w:rPr>
          <w:rFonts w:ascii="Arial" w:hAnsi="Arial" w:cs="Arial"/>
          <w:b/>
          <w:sz w:val="24"/>
          <w:szCs w:val="22"/>
          <w:lang w:val="pl-PL"/>
        </w:rPr>
        <w:t>Biểu 1. Tốc độ tăng, giảm chỉ số IIP mười một</w:t>
      </w:r>
      <w:r w:rsidRPr="00C62BC1">
        <w:rPr>
          <w:rFonts w:ascii="Arial" w:hAnsi="Arial" w:cs="Arial"/>
          <w:b/>
          <w:sz w:val="24"/>
          <w:szCs w:val="22"/>
          <w:lang w:val="vi-VN"/>
        </w:rPr>
        <w:t xml:space="preserve"> tháng </w:t>
      </w:r>
      <w:r w:rsidRPr="00C62BC1">
        <w:rPr>
          <w:rFonts w:ascii="Arial" w:hAnsi="Arial" w:cs="Arial"/>
          <w:b/>
          <w:sz w:val="24"/>
          <w:szCs w:val="22"/>
          <w:lang w:val="pl-PL"/>
        </w:rPr>
        <w:t>các năm 2021-2025</w:t>
      </w:r>
      <w:r w:rsidRPr="00C62BC1">
        <w:rPr>
          <w:rFonts w:ascii="Arial" w:hAnsi="Arial" w:cs="Arial"/>
          <w:b/>
          <w:sz w:val="24"/>
          <w:szCs w:val="22"/>
          <w:lang w:val="pl-PL"/>
        </w:rPr>
        <w:br/>
        <w:t xml:space="preserve">so với cùng kỳ năm trước của một số ngành công nghiệp trọng điểm </w:t>
      </w:r>
    </w:p>
    <w:p w14:paraId="09C9C878" w14:textId="77777777" w:rsidR="00EF7A8C" w:rsidRPr="00C62BC1" w:rsidRDefault="00EF7A8C" w:rsidP="00EF7A8C">
      <w:pPr>
        <w:shd w:val="clear" w:color="auto" w:fill="FFFFFF"/>
        <w:tabs>
          <w:tab w:val="left" w:pos="8931"/>
        </w:tabs>
        <w:spacing w:before="60"/>
        <w:jc w:val="right"/>
        <w:rPr>
          <w:rFonts w:ascii="Arial" w:hAnsi="Arial" w:cs="Arial"/>
          <w:b/>
          <w:bCs/>
          <w:i/>
          <w:iCs/>
          <w:sz w:val="20"/>
          <w:szCs w:val="20"/>
          <w:lang w:val="pl-PL"/>
        </w:rPr>
      </w:pPr>
      <w:r w:rsidRPr="00C62BC1">
        <w:rPr>
          <w:rFonts w:ascii="Arial" w:hAnsi="Arial" w:cs="Arial"/>
          <w:b/>
          <w:bCs/>
          <w:i/>
          <w:iCs/>
          <w:sz w:val="20"/>
          <w:szCs w:val="20"/>
          <w:lang w:val="pl-PL"/>
        </w:rPr>
        <w:t xml:space="preserve">   %</w:t>
      </w:r>
    </w:p>
    <w:tbl>
      <w:tblPr>
        <w:tblW w:w="9245" w:type="dxa"/>
        <w:jc w:val="center"/>
        <w:tblBorders>
          <w:top w:val="single" w:sz="4" w:space="0" w:color="auto"/>
        </w:tblBorders>
        <w:tblLook w:val="04A0" w:firstRow="1" w:lastRow="0" w:firstColumn="1" w:lastColumn="0" w:noHBand="0" w:noVBand="1"/>
      </w:tblPr>
      <w:tblGrid>
        <w:gridCol w:w="4536"/>
        <w:gridCol w:w="999"/>
        <w:gridCol w:w="986"/>
        <w:gridCol w:w="1027"/>
        <w:gridCol w:w="841"/>
        <w:gridCol w:w="856"/>
      </w:tblGrid>
      <w:tr w:rsidR="00951742" w:rsidRPr="00C62BC1" w14:paraId="506A3B8A" w14:textId="77777777" w:rsidTr="00480E99">
        <w:trPr>
          <w:trHeight w:val="578"/>
          <w:tblHeader/>
          <w:jc w:val="center"/>
        </w:trPr>
        <w:tc>
          <w:tcPr>
            <w:tcW w:w="4536" w:type="dxa"/>
            <w:tcBorders>
              <w:top w:val="single" w:sz="4" w:space="0" w:color="auto"/>
              <w:left w:val="nil"/>
              <w:bottom w:val="nil"/>
              <w:right w:val="nil"/>
            </w:tcBorders>
            <w:shd w:val="clear" w:color="auto" w:fill="FFFFFF"/>
            <w:hideMark/>
          </w:tcPr>
          <w:p w14:paraId="1D1C6010" w14:textId="77777777" w:rsidR="00EF7A8C" w:rsidRPr="00C62BC1" w:rsidRDefault="00EF7A8C" w:rsidP="00480E99">
            <w:pPr>
              <w:spacing w:before="20" w:after="20" w:line="254" w:lineRule="auto"/>
              <w:jc w:val="center"/>
              <w:rPr>
                <w:rFonts w:ascii="Arial" w:hAnsi="Arial" w:cs="Arial"/>
                <w:b/>
                <w:bCs/>
                <w:sz w:val="20"/>
                <w:szCs w:val="20"/>
                <w:lang w:val="vi-VN"/>
              </w:rPr>
            </w:pPr>
            <w:r w:rsidRPr="00C62BC1">
              <w:rPr>
                <w:rFonts w:ascii="Arial" w:hAnsi="Arial" w:cs="Arial"/>
                <w:b/>
                <w:bCs/>
                <w:sz w:val="20"/>
                <w:szCs w:val="20"/>
                <w:lang w:val="vi-VN"/>
              </w:rPr>
              <w:t> </w:t>
            </w:r>
          </w:p>
        </w:tc>
        <w:tc>
          <w:tcPr>
            <w:tcW w:w="999" w:type="dxa"/>
            <w:tcBorders>
              <w:top w:val="single" w:sz="4" w:space="0" w:color="auto"/>
              <w:left w:val="nil"/>
              <w:bottom w:val="single" w:sz="4" w:space="0" w:color="auto"/>
              <w:right w:val="nil"/>
            </w:tcBorders>
            <w:vAlign w:val="center"/>
            <w:hideMark/>
          </w:tcPr>
          <w:p w14:paraId="649E0FB1" w14:textId="77777777" w:rsidR="00EF7A8C" w:rsidRPr="00C62BC1" w:rsidRDefault="00EF7A8C" w:rsidP="00480E99">
            <w:pPr>
              <w:spacing w:before="20" w:after="20" w:line="254" w:lineRule="auto"/>
              <w:jc w:val="right"/>
              <w:rPr>
                <w:rFonts w:ascii="Arial" w:hAnsi="Arial" w:cs="Arial"/>
                <w:b/>
                <w:bCs/>
                <w:sz w:val="20"/>
                <w:szCs w:val="20"/>
                <w:lang w:val="vi-VN"/>
              </w:rPr>
            </w:pPr>
            <w:r w:rsidRPr="00C62BC1">
              <w:rPr>
                <w:rFonts w:ascii="Arial" w:hAnsi="Arial" w:cs="Arial"/>
                <w:b/>
                <w:bCs/>
                <w:sz w:val="20"/>
                <w:szCs w:val="20"/>
                <w:lang w:val="vi-VN"/>
              </w:rPr>
              <w:t>2021</w:t>
            </w:r>
          </w:p>
        </w:tc>
        <w:tc>
          <w:tcPr>
            <w:tcW w:w="986" w:type="dxa"/>
            <w:tcBorders>
              <w:top w:val="single" w:sz="4" w:space="0" w:color="auto"/>
              <w:left w:val="nil"/>
              <w:bottom w:val="single" w:sz="4" w:space="0" w:color="auto"/>
              <w:right w:val="nil"/>
            </w:tcBorders>
            <w:vAlign w:val="center"/>
            <w:hideMark/>
          </w:tcPr>
          <w:p w14:paraId="1ECCD6E3" w14:textId="77777777" w:rsidR="00EF7A8C" w:rsidRPr="00C62BC1" w:rsidRDefault="00EF7A8C" w:rsidP="00480E99">
            <w:pPr>
              <w:spacing w:before="20" w:after="20" w:line="254" w:lineRule="auto"/>
              <w:jc w:val="right"/>
              <w:rPr>
                <w:rFonts w:ascii="Arial" w:hAnsi="Arial" w:cs="Arial"/>
                <w:b/>
                <w:bCs/>
                <w:sz w:val="20"/>
                <w:szCs w:val="20"/>
                <w:lang w:val="vi-VN"/>
              </w:rPr>
            </w:pPr>
            <w:r w:rsidRPr="00C62BC1">
              <w:rPr>
                <w:rFonts w:ascii="Arial" w:hAnsi="Arial" w:cs="Arial"/>
                <w:b/>
                <w:bCs/>
                <w:sz w:val="20"/>
                <w:szCs w:val="20"/>
                <w:lang w:val="vi-VN"/>
              </w:rPr>
              <w:t xml:space="preserve"> 2022</w:t>
            </w:r>
          </w:p>
        </w:tc>
        <w:tc>
          <w:tcPr>
            <w:tcW w:w="1027" w:type="dxa"/>
            <w:tcBorders>
              <w:top w:val="single" w:sz="4" w:space="0" w:color="auto"/>
              <w:left w:val="nil"/>
              <w:bottom w:val="single" w:sz="4" w:space="0" w:color="auto"/>
              <w:right w:val="nil"/>
            </w:tcBorders>
            <w:vAlign w:val="center"/>
            <w:hideMark/>
          </w:tcPr>
          <w:p w14:paraId="335C9749" w14:textId="77777777" w:rsidR="00EF7A8C" w:rsidRPr="00C62BC1" w:rsidRDefault="00EF7A8C" w:rsidP="00480E99">
            <w:pPr>
              <w:spacing w:before="20" w:after="20" w:line="254" w:lineRule="auto"/>
              <w:jc w:val="right"/>
              <w:rPr>
                <w:rFonts w:ascii="Arial" w:hAnsi="Arial" w:cs="Arial"/>
                <w:b/>
                <w:bCs/>
                <w:sz w:val="20"/>
                <w:szCs w:val="20"/>
                <w:lang w:val="vi-VN"/>
              </w:rPr>
            </w:pPr>
            <w:r w:rsidRPr="00C62BC1">
              <w:rPr>
                <w:rFonts w:ascii="Arial" w:hAnsi="Arial" w:cs="Arial"/>
                <w:b/>
                <w:bCs/>
                <w:sz w:val="20"/>
                <w:szCs w:val="20"/>
                <w:lang w:val="vi-VN"/>
              </w:rPr>
              <w:t>2023</w:t>
            </w:r>
          </w:p>
        </w:tc>
        <w:tc>
          <w:tcPr>
            <w:tcW w:w="841" w:type="dxa"/>
            <w:tcBorders>
              <w:top w:val="single" w:sz="4" w:space="0" w:color="auto"/>
              <w:left w:val="nil"/>
              <w:bottom w:val="single" w:sz="4" w:space="0" w:color="auto"/>
              <w:right w:val="nil"/>
            </w:tcBorders>
            <w:vAlign w:val="center"/>
            <w:hideMark/>
          </w:tcPr>
          <w:p w14:paraId="022496AD" w14:textId="77777777" w:rsidR="00EF7A8C" w:rsidRPr="00C62BC1" w:rsidRDefault="00EF7A8C" w:rsidP="00480E99">
            <w:pPr>
              <w:spacing w:before="20" w:after="20" w:line="254" w:lineRule="auto"/>
              <w:jc w:val="right"/>
              <w:rPr>
                <w:rFonts w:ascii="Arial" w:hAnsi="Arial" w:cs="Arial"/>
                <w:b/>
                <w:bCs/>
                <w:sz w:val="20"/>
                <w:szCs w:val="20"/>
                <w:lang w:val="vi-VN"/>
              </w:rPr>
            </w:pPr>
            <w:r w:rsidRPr="00C62BC1">
              <w:rPr>
                <w:rFonts w:ascii="Arial" w:hAnsi="Arial" w:cs="Arial"/>
                <w:b/>
                <w:bCs/>
                <w:sz w:val="20"/>
                <w:szCs w:val="20"/>
                <w:lang w:val="vi-VN"/>
              </w:rPr>
              <w:t>2024</w:t>
            </w:r>
          </w:p>
        </w:tc>
        <w:tc>
          <w:tcPr>
            <w:tcW w:w="856" w:type="dxa"/>
            <w:tcBorders>
              <w:top w:val="single" w:sz="4" w:space="0" w:color="auto"/>
              <w:left w:val="nil"/>
              <w:bottom w:val="single" w:sz="4" w:space="0" w:color="auto"/>
              <w:right w:val="nil"/>
            </w:tcBorders>
            <w:vAlign w:val="center"/>
            <w:hideMark/>
          </w:tcPr>
          <w:p w14:paraId="50B52571" w14:textId="77777777" w:rsidR="00EF7A8C" w:rsidRPr="00C62BC1" w:rsidRDefault="00EF7A8C" w:rsidP="00480E99">
            <w:pPr>
              <w:spacing w:before="20" w:after="20" w:line="254" w:lineRule="auto"/>
              <w:jc w:val="right"/>
              <w:rPr>
                <w:rFonts w:ascii="Arial" w:hAnsi="Arial" w:cs="Arial"/>
                <w:b/>
                <w:bCs/>
                <w:sz w:val="20"/>
                <w:szCs w:val="20"/>
                <w:lang w:val="vi-VN"/>
              </w:rPr>
            </w:pPr>
            <w:r w:rsidRPr="00C62BC1">
              <w:rPr>
                <w:rFonts w:ascii="Arial" w:hAnsi="Arial" w:cs="Arial"/>
                <w:b/>
                <w:bCs/>
                <w:sz w:val="20"/>
                <w:szCs w:val="20"/>
                <w:lang w:val="vi-VN"/>
              </w:rPr>
              <w:t>2025</w:t>
            </w:r>
          </w:p>
        </w:tc>
      </w:tr>
      <w:tr w:rsidR="00951742" w:rsidRPr="00C62BC1" w14:paraId="3DBF94D6" w14:textId="77777777" w:rsidTr="00480E99">
        <w:trPr>
          <w:trHeight w:val="51"/>
          <w:jc w:val="center"/>
        </w:trPr>
        <w:tc>
          <w:tcPr>
            <w:tcW w:w="4536" w:type="dxa"/>
            <w:tcBorders>
              <w:top w:val="nil"/>
              <w:left w:val="nil"/>
              <w:bottom w:val="nil"/>
              <w:right w:val="nil"/>
            </w:tcBorders>
            <w:shd w:val="clear" w:color="auto" w:fill="FFFFFF"/>
          </w:tcPr>
          <w:p w14:paraId="167B05A9" w14:textId="77777777" w:rsidR="00EF7A8C" w:rsidRPr="00C62BC1" w:rsidRDefault="00EF7A8C" w:rsidP="00480E99">
            <w:pPr>
              <w:spacing w:before="20" w:after="20" w:line="254" w:lineRule="auto"/>
              <w:jc w:val="center"/>
              <w:rPr>
                <w:rFonts w:ascii="Arial" w:hAnsi="Arial" w:cs="Arial"/>
                <w:b/>
                <w:bCs/>
                <w:sz w:val="20"/>
                <w:szCs w:val="20"/>
                <w:lang w:val="vi-VN"/>
              </w:rPr>
            </w:pPr>
          </w:p>
        </w:tc>
        <w:tc>
          <w:tcPr>
            <w:tcW w:w="999" w:type="dxa"/>
            <w:tcBorders>
              <w:top w:val="single" w:sz="4" w:space="0" w:color="auto"/>
              <w:left w:val="nil"/>
              <w:bottom w:val="nil"/>
              <w:right w:val="nil"/>
            </w:tcBorders>
            <w:vAlign w:val="center"/>
          </w:tcPr>
          <w:p w14:paraId="0894E6C9" w14:textId="77777777" w:rsidR="00EF7A8C" w:rsidRPr="00C62BC1" w:rsidRDefault="00EF7A8C" w:rsidP="00480E99">
            <w:pPr>
              <w:spacing w:before="20" w:after="20" w:line="254" w:lineRule="auto"/>
              <w:jc w:val="center"/>
              <w:rPr>
                <w:rFonts w:ascii="Arial" w:hAnsi="Arial" w:cs="Arial"/>
                <w:b/>
                <w:bCs/>
                <w:sz w:val="20"/>
                <w:szCs w:val="20"/>
                <w:lang w:val="vi-VN"/>
              </w:rPr>
            </w:pPr>
          </w:p>
        </w:tc>
        <w:tc>
          <w:tcPr>
            <w:tcW w:w="986" w:type="dxa"/>
            <w:tcBorders>
              <w:top w:val="single" w:sz="4" w:space="0" w:color="auto"/>
              <w:left w:val="nil"/>
              <w:bottom w:val="nil"/>
              <w:right w:val="nil"/>
            </w:tcBorders>
            <w:vAlign w:val="center"/>
          </w:tcPr>
          <w:p w14:paraId="53665DF2" w14:textId="77777777" w:rsidR="00EF7A8C" w:rsidRPr="00C62BC1" w:rsidRDefault="00EF7A8C" w:rsidP="00480E99">
            <w:pPr>
              <w:spacing w:before="20" w:after="20" w:line="254" w:lineRule="auto"/>
              <w:jc w:val="center"/>
              <w:rPr>
                <w:rFonts w:ascii="Arial" w:hAnsi="Arial" w:cs="Arial"/>
                <w:b/>
                <w:bCs/>
                <w:sz w:val="20"/>
                <w:szCs w:val="20"/>
                <w:lang w:val="vi-VN"/>
              </w:rPr>
            </w:pPr>
          </w:p>
        </w:tc>
        <w:tc>
          <w:tcPr>
            <w:tcW w:w="1027" w:type="dxa"/>
            <w:tcBorders>
              <w:top w:val="single" w:sz="4" w:space="0" w:color="auto"/>
              <w:left w:val="nil"/>
              <w:bottom w:val="nil"/>
              <w:right w:val="nil"/>
            </w:tcBorders>
            <w:vAlign w:val="center"/>
          </w:tcPr>
          <w:p w14:paraId="192EFE35" w14:textId="77777777" w:rsidR="00EF7A8C" w:rsidRPr="00C62BC1" w:rsidRDefault="00EF7A8C" w:rsidP="00480E99">
            <w:pPr>
              <w:spacing w:before="20" w:after="20" w:line="254" w:lineRule="auto"/>
              <w:jc w:val="center"/>
              <w:rPr>
                <w:rFonts w:ascii="Arial" w:hAnsi="Arial" w:cs="Arial"/>
                <w:b/>
                <w:bCs/>
                <w:sz w:val="20"/>
                <w:szCs w:val="20"/>
                <w:lang w:val="vi-VN"/>
              </w:rPr>
            </w:pPr>
          </w:p>
        </w:tc>
        <w:tc>
          <w:tcPr>
            <w:tcW w:w="841" w:type="dxa"/>
            <w:tcBorders>
              <w:top w:val="single" w:sz="4" w:space="0" w:color="auto"/>
              <w:left w:val="nil"/>
              <w:bottom w:val="nil"/>
              <w:right w:val="nil"/>
            </w:tcBorders>
            <w:vAlign w:val="center"/>
          </w:tcPr>
          <w:p w14:paraId="3ADB034F" w14:textId="77777777" w:rsidR="00EF7A8C" w:rsidRPr="00C62BC1" w:rsidRDefault="00EF7A8C" w:rsidP="00480E99">
            <w:pPr>
              <w:spacing w:before="20" w:after="20" w:line="254" w:lineRule="auto"/>
              <w:jc w:val="center"/>
              <w:rPr>
                <w:rFonts w:ascii="Arial" w:hAnsi="Arial" w:cs="Arial"/>
                <w:b/>
                <w:bCs/>
                <w:sz w:val="20"/>
                <w:szCs w:val="20"/>
                <w:lang w:val="vi-VN"/>
              </w:rPr>
            </w:pPr>
          </w:p>
        </w:tc>
        <w:tc>
          <w:tcPr>
            <w:tcW w:w="856" w:type="dxa"/>
            <w:tcBorders>
              <w:top w:val="single" w:sz="4" w:space="0" w:color="auto"/>
              <w:left w:val="nil"/>
              <w:bottom w:val="nil"/>
              <w:right w:val="nil"/>
            </w:tcBorders>
            <w:vAlign w:val="center"/>
          </w:tcPr>
          <w:p w14:paraId="7F1AAF2F" w14:textId="77777777" w:rsidR="00EF7A8C" w:rsidRPr="00C62BC1" w:rsidRDefault="00EF7A8C" w:rsidP="00480E99">
            <w:pPr>
              <w:spacing w:before="20" w:after="20" w:line="254" w:lineRule="auto"/>
              <w:jc w:val="center"/>
              <w:rPr>
                <w:rFonts w:ascii="Arial" w:hAnsi="Arial" w:cs="Arial"/>
                <w:b/>
                <w:bCs/>
                <w:sz w:val="20"/>
                <w:szCs w:val="20"/>
                <w:lang w:val="vi-VN"/>
              </w:rPr>
            </w:pPr>
          </w:p>
        </w:tc>
      </w:tr>
      <w:tr w:rsidR="00951742" w:rsidRPr="00C62BC1" w14:paraId="1BAFC605" w14:textId="77777777" w:rsidTr="00480E99">
        <w:trPr>
          <w:trHeight w:val="309"/>
          <w:jc w:val="center"/>
        </w:trPr>
        <w:tc>
          <w:tcPr>
            <w:tcW w:w="4536" w:type="dxa"/>
            <w:tcBorders>
              <w:top w:val="nil"/>
              <w:left w:val="nil"/>
              <w:bottom w:val="nil"/>
              <w:right w:val="nil"/>
            </w:tcBorders>
            <w:shd w:val="clear" w:color="auto" w:fill="FFFFFF"/>
            <w:noWrap/>
            <w:hideMark/>
          </w:tcPr>
          <w:p w14:paraId="79BDABD5" w14:textId="77777777" w:rsidR="00EF7A8C" w:rsidRPr="00C62BC1" w:rsidRDefault="00EF7A8C" w:rsidP="00480E99">
            <w:pPr>
              <w:rPr>
                <w:rFonts w:ascii="Arial" w:hAnsi="Arial" w:cs="Arial"/>
                <w:sz w:val="20"/>
                <w:szCs w:val="20"/>
              </w:rPr>
            </w:pPr>
            <w:r w:rsidRPr="00C62BC1">
              <w:rPr>
                <w:rFonts w:ascii="Arial" w:hAnsi="Arial" w:cs="Arial"/>
                <w:sz w:val="20"/>
                <w:szCs w:val="20"/>
              </w:rPr>
              <w:t>Khai thác than cứng và than non</w:t>
            </w:r>
          </w:p>
        </w:tc>
        <w:tc>
          <w:tcPr>
            <w:tcW w:w="999" w:type="dxa"/>
            <w:tcBorders>
              <w:top w:val="nil"/>
              <w:left w:val="nil"/>
              <w:bottom w:val="nil"/>
              <w:right w:val="nil"/>
            </w:tcBorders>
            <w:hideMark/>
          </w:tcPr>
          <w:p w14:paraId="7C75FF44"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7,5</w:t>
            </w:r>
          </w:p>
        </w:tc>
        <w:tc>
          <w:tcPr>
            <w:tcW w:w="986" w:type="dxa"/>
            <w:tcBorders>
              <w:top w:val="nil"/>
              <w:left w:val="nil"/>
              <w:bottom w:val="nil"/>
              <w:right w:val="nil"/>
            </w:tcBorders>
            <w:hideMark/>
          </w:tcPr>
          <w:p w14:paraId="55CEBB54"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5,8</w:t>
            </w:r>
          </w:p>
        </w:tc>
        <w:tc>
          <w:tcPr>
            <w:tcW w:w="1027" w:type="dxa"/>
            <w:tcBorders>
              <w:top w:val="nil"/>
              <w:left w:val="nil"/>
              <w:bottom w:val="nil"/>
              <w:right w:val="nil"/>
            </w:tcBorders>
            <w:hideMark/>
          </w:tcPr>
          <w:p w14:paraId="76F56772"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-0,8</w:t>
            </w:r>
          </w:p>
        </w:tc>
        <w:tc>
          <w:tcPr>
            <w:tcW w:w="841" w:type="dxa"/>
            <w:tcBorders>
              <w:top w:val="nil"/>
              <w:left w:val="nil"/>
              <w:bottom w:val="nil"/>
              <w:right w:val="nil"/>
            </w:tcBorders>
            <w:hideMark/>
          </w:tcPr>
          <w:p w14:paraId="3F8E69C3"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-5,8</w:t>
            </w:r>
          </w:p>
        </w:tc>
        <w:tc>
          <w:tcPr>
            <w:tcW w:w="856" w:type="dxa"/>
            <w:tcBorders>
              <w:top w:val="nil"/>
              <w:left w:val="nil"/>
              <w:bottom w:val="nil"/>
              <w:right w:val="nil"/>
            </w:tcBorders>
            <w:hideMark/>
          </w:tcPr>
          <w:p w14:paraId="557C46AA"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3,7</w:t>
            </w:r>
          </w:p>
        </w:tc>
      </w:tr>
      <w:tr w:rsidR="00951742" w:rsidRPr="00C62BC1" w14:paraId="7636206B" w14:textId="77777777" w:rsidTr="00480E99">
        <w:trPr>
          <w:trHeight w:val="309"/>
          <w:jc w:val="center"/>
        </w:trPr>
        <w:tc>
          <w:tcPr>
            <w:tcW w:w="4536" w:type="dxa"/>
            <w:tcBorders>
              <w:top w:val="nil"/>
              <w:left w:val="nil"/>
              <w:bottom w:val="nil"/>
              <w:right w:val="nil"/>
            </w:tcBorders>
            <w:shd w:val="clear" w:color="auto" w:fill="FFFFFF"/>
            <w:noWrap/>
            <w:hideMark/>
          </w:tcPr>
          <w:p w14:paraId="414C74A0" w14:textId="77777777" w:rsidR="00EF7A8C" w:rsidRPr="00C62BC1" w:rsidRDefault="00EF7A8C" w:rsidP="00480E99">
            <w:pPr>
              <w:rPr>
                <w:rFonts w:ascii="Arial" w:hAnsi="Arial" w:cs="Arial"/>
                <w:sz w:val="20"/>
                <w:szCs w:val="20"/>
              </w:rPr>
            </w:pPr>
            <w:r w:rsidRPr="00C62BC1">
              <w:rPr>
                <w:rFonts w:ascii="Arial" w:hAnsi="Arial" w:cs="Arial"/>
                <w:sz w:val="20"/>
                <w:szCs w:val="20"/>
              </w:rPr>
              <w:t>Khai thác dầu thô và khí đốt tự nhiên</w:t>
            </w:r>
          </w:p>
        </w:tc>
        <w:tc>
          <w:tcPr>
            <w:tcW w:w="999" w:type="dxa"/>
            <w:tcBorders>
              <w:top w:val="nil"/>
              <w:left w:val="nil"/>
              <w:bottom w:val="nil"/>
              <w:right w:val="nil"/>
            </w:tcBorders>
            <w:hideMark/>
          </w:tcPr>
          <w:p w14:paraId="2D22EA8E"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-12,6</w:t>
            </w:r>
          </w:p>
        </w:tc>
        <w:tc>
          <w:tcPr>
            <w:tcW w:w="986" w:type="dxa"/>
            <w:tcBorders>
              <w:top w:val="nil"/>
              <w:left w:val="nil"/>
              <w:bottom w:val="nil"/>
              <w:right w:val="nil"/>
            </w:tcBorders>
            <w:hideMark/>
          </w:tcPr>
          <w:p w14:paraId="2F8D078E"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4,7</w:t>
            </w:r>
          </w:p>
        </w:tc>
        <w:tc>
          <w:tcPr>
            <w:tcW w:w="1027" w:type="dxa"/>
            <w:tcBorders>
              <w:top w:val="nil"/>
              <w:left w:val="nil"/>
              <w:bottom w:val="nil"/>
              <w:right w:val="nil"/>
            </w:tcBorders>
            <w:hideMark/>
          </w:tcPr>
          <w:p w14:paraId="50678E61"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-4,4</w:t>
            </w:r>
          </w:p>
        </w:tc>
        <w:tc>
          <w:tcPr>
            <w:tcW w:w="841" w:type="dxa"/>
            <w:tcBorders>
              <w:top w:val="nil"/>
              <w:left w:val="nil"/>
              <w:bottom w:val="nil"/>
              <w:right w:val="nil"/>
            </w:tcBorders>
            <w:hideMark/>
          </w:tcPr>
          <w:p w14:paraId="2FCDF721"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-11,2</w:t>
            </w:r>
          </w:p>
        </w:tc>
        <w:tc>
          <w:tcPr>
            <w:tcW w:w="856" w:type="dxa"/>
            <w:tcBorders>
              <w:top w:val="nil"/>
              <w:left w:val="nil"/>
              <w:bottom w:val="nil"/>
              <w:right w:val="nil"/>
            </w:tcBorders>
            <w:hideMark/>
          </w:tcPr>
          <w:p w14:paraId="0B8E894E"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-2,7</w:t>
            </w:r>
          </w:p>
        </w:tc>
      </w:tr>
      <w:tr w:rsidR="00951742" w:rsidRPr="00C62BC1" w14:paraId="34EA94F8" w14:textId="77777777" w:rsidTr="00480E99">
        <w:trPr>
          <w:trHeight w:val="335"/>
          <w:jc w:val="center"/>
        </w:trPr>
        <w:tc>
          <w:tcPr>
            <w:tcW w:w="4536" w:type="dxa"/>
            <w:tcBorders>
              <w:top w:val="nil"/>
              <w:left w:val="nil"/>
              <w:bottom w:val="nil"/>
              <w:right w:val="nil"/>
            </w:tcBorders>
            <w:shd w:val="clear" w:color="auto" w:fill="FFFFFF"/>
            <w:hideMark/>
          </w:tcPr>
          <w:p w14:paraId="158693B9" w14:textId="77777777" w:rsidR="00EF7A8C" w:rsidRPr="00C62BC1" w:rsidRDefault="00EF7A8C" w:rsidP="00480E99">
            <w:pPr>
              <w:rPr>
                <w:rFonts w:ascii="Arial" w:hAnsi="Arial" w:cs="Arial"/>
                <w:sz w:val="20"/>
                <w:szCs w:val="20"/>
              </w:rPr>
            </w:pPr>
            <w:r w:rsidRPr="00C62BC1">
              <w:rPr>
                <w:rFonts w:ascii="Arial" w:hAnsi="Arial" w:cs="Arial"/>
                <w:sz w:val="20"/>
                <w:szCs w:val="20"/>
              </w:rPr>
              <w:t>Sản xuất chế biến thực phẩm</w:t>
            </w:r>
          </w:p>
        </w:tc>
        <w:tc>
          <w:tcPr>
            <w:tcW w:w="999" w:type="dxa"/>
            <w:tcBorders>
              <w:top w:val="nil"/>
              <w:left w:val="nil"/>
              <w:bottom w:val="nil"/>
              <w:right w:val="nil"/>
            </w:tcBorders>
            <w:hideMark/>
          </w:tcPr>
          <w:p w14:paraId="66DDD494"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1,9</w:t>
            </w:r>
          </w:p>
        </w:tc>
        <w:tc>
          <w:tcPr>
            <w:tcW w:w="986" w:type="dxa"/>
            <w:tcBorders>
              <w:top w:val="nil"/>
              <w:left w:val="nil"/>
              <w:bottom w:val="nil"/>
              <w:right w:val="nil"/>
            </w:tcBorders>
            <w:hideMark/>
          </w:tcPr>
          <w:p w14:paraId="673130B1"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9,2</w:t>
            </w:r>
          </w:p>
        </w:tc>
        <w:tc>
          <w:tcPr>
            <w:tcW w:w="1027" w:type="dxa"/>
            <w:tcBorders>
              <w:top w:val="nil"/>
              <w:left w:val="nil"/>
              <w:bottom w:val="nil"/>
              <w:right w:val="nil"/>
            </w:tcBorders>
            <w:hideMark/>
          </w:tcPr>
          <w:p w14:paraId="6525EAF6"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5,8</w:t>
            </w:r>
          </w:p>
        </w:tc>
        <w:tc>
          <w:tcPr>
            <w:tcW w:w="841" w:type="dxa"/>
            <w:tcBorders>
              <w:top w:val="nil"/>
              <w:left w:val="nil"/>
              <w:bottom w:val="nil"/>
              <w:right w:val="nil"/>
            </w:tcBorders>
            <w:hideMark/>
          </w:tcPr>
          <w:p w14:paraId="7AB3D873"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7,1</w:t>
            </w:r>
          </w:p>
        </w:tc>
        <w:tc>
          <w:tcPr>
            <w:tcW w:w="856" w:type="dxa"/>
            <w:tcBorders>
              <w:top w:val="nil"/>
              <w:left w:val="nil"/>
              <w:bottom w:val="nil"/>
              <w:right w:val="nil"/>
            </w:tcBorders>
            <w:hideMark/>
          </w:tcPr>
          <w:p w14:paraId="6083A1FF"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10,5</w:t>
            </w:r>
          </w:p>
        </w:tc>
      </w:tr>
      <w:tr w:rsidR="00951742" w:rsidRPr="00C62BC1" w14:paraId="2BF5FABA" w14:textId="77777777" w:rsidTr="00480E99">
        <w:trPr>
          <w:trHeight w:val="309"/>
          <w:jc w:val="center"/>
        </w:trPr>
        <w:tc>
          <w:tcPr>
            <w:tcW w:w="4536" w:type="dxa"/>
            <w:tcBorders>
              <w:top w:val="nil"/>
              <w:left w:val="nil"/>
              <w:bottom w:val="nil"/>
              <w:right w:val="nil"/>
            </w:tcBorders>
            <w:shd w:val="clear" w:color="auto" w:fill="FFFFFF"/>
            <w:noWrap/>
            <w:hideMark/>
          </w:tcPr>
          <w:p w14:paraId="2661C610" w14:textId="77777777" w:rsidR="00EF7A8C" w:rsidRPr="00C62BC1" w:rsidRDefault="00EF7A8C" w:rsidP="00480E99">
            <w:pPr>
              <w:rPr>
                <w:rFonts w:ascii="Arial" w:hAnsi="Arial" w:cs="Arial"/>
                <w:sz w:val="20"/>
                <w:szCs w:val="20"/>
              </w:rPr>
            </w:pPr>
            <w:r w:rsidRPr="00C62BC1">
              <w:rPr>
                <w:rFonts w:ascii="Arial" w:hAnsi="Arial" w:cs="Arial"/>
                <w:sz w:val="20"/>
                <w:szCs w:val="20"/>
              </w:rPr>
              <w:t>Sản xuất trang phục</w:t>
            </w:r>
          </w:p>
        </w:tc>
        <w:tc>
          <w:tcPr>
            <w:tcW w:w="999" w:type="dxa"/>
            <w:tcBorders>
              <w:top w:val="nil"/>
              <w:left w:val="nil"/>
              <w:bottom w:val="nil"/>
              <w:right w:val="nil"/>
            </w:tcBorders>
            <w:hideMark/>
          </w:tcPr>
          <w:p w14:paraId="0FF810BC"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6,3</w:t>
            </w:r>
          </w:p>
        </w:tc>
        <w:tc>
          <w:tcPr>
            <w:tcW w:w="986" w:type="dxa"/>
            <w:tcBorders>
              <w:top w:val="nil"/>
              <w:left w:val="nil"/>
              <w:bottom w:val="nil"/>
              <w:right w:val="nil"/>
            </w:tcBorders>
            <w:hideMark/>
          </w:tcPr>
          <w:p w14:paraId="3AA6A343"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16,6</w:t>
            </w:r>
          </w:p>
        </w:tc>
        <w:tc>
          <w:tcPr>
            <w:tcW w:w="1027" w:type="dxa"/>
            <w:tcBorders>
              <w:top w:val="nil"/>
              <w:left w:val="nil"/>
              <w:bottom w:val="nil"/>
              <w:right w:val="nil"/>
            </w:tcBorders>
            <w:hideMark/>
          </w:tcPr>
          <w:p w14:paraId="25D20633"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-1,2</w:t>
            </w:r>
          </w:p>
        </w:tc>
        <w:tc>
          <w:tcPr>
            <w:tcW w:w="841" w:type="dxa"/>
            <w:tcBorders>
              <w:top w:val="nil"/>
              <w:left w:val="nil"/>
              <w:bottom w:val="nil"/>
              <w:right w:val="nil"/>
            </w:tcBorders>
            <w:hideMark/>
          </w:tcPr>
          <w:p w14:paraId="0544A999"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10,9</w:t>
            </w:r>
          </w:p>
        </w:tc>
        <w:tc>
          <w:tcPr>
            <w:tcW w:w="856" w:type="dxa"/>
            <w:tcBorders>
              <w:top w:val="nil"/>
              <w:left w:val="nil"/>
              <w:bottom w:val="nil"/>
              <w:right w:val="nil"/>
            </w:tcBorders>
            <w:hideMark/>
          </w:tcPr>
          <w:p w14:paraId="362B089B"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13,5</w:t>
            </w:r>
          </w:p>
        </w:tc>
      </w:tr>
      <w:tr w:rsidR="00951742" w:rsidRPr="00C62BC1" w14:paraId="74C3C0FB" w14:textId="77777777" w:rsidTr="00480E99">
        <w:trPr>
          <w:trHeight w:val="309"/>
          <w:jc w:val="center"/>
        </w:trPr>
        <w:tc>
          <w:tcPr>
            <w:tcW w:w="4536" w:type="dxa"/>
            <w:tcBorders>
              <w:top w:val="nil"/>
              <w:left w:val="nil"/>
              <w:bottom w:val="nil"/>
              <w:right w:val="nil"/>
            </w:tcBorders>
            <w:shd w:val="clear" w:color="auto" w:fill="FFFFFF"/>
            <w:noWrap/>
            <w:hideMark/>
          </w:tcPr>
          <w:p w14:paraId="16A071F0" w14:textId="77777777" w:rsidR="00EF7A8C" w:rsidRPr="00C62BC1" w:rsidRDefault="00EF7A8C" w:rsidP="00480E99">
            <w:pPr>
              <w:rPr>
                <w:rFonts w:ascii="Arial" w:hAnsi="Arial" w:cs="Arial"/>
                <w:sz w:val="20"/>
                <w:szCs w:val="20"/>
              </w:rPr>
            </w:pPr>
            <w:r w:rsidRPr="00C62BC1">
              <w:rPr>
                <w:rFonts w:ascii="Arial" w:hAnsi="Arial" w:cs="Arial"/>
                <w:sz w:val="20"/>
                <w:szCs w:val="20"/>
              </w:rPr>
              <w:t>Sản xuất da và các sản phẩm có liên quan</w:t>
            </w:r>
          </w:p>
        </w:tc>
        <w:tc>
          <w:tcPr>
            <w:tcW w:w="999" w:type="dxa"/>
            <w:tcBorders>
              <w:top w:val="nil"/>
              <w:left w:val="nil"/>
              <w:bottom w:val="nil"/>
              <w:right w:val="nil"/>
            </w:tcBorders>
            <w:hideMark/>
          </w:tcPr>
          <w:p w14:paraId="243FB8CA"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4,2</w:t>
            </w:r>
          </w:p>
        </w:tc>
        <w:tc>
          <w:tcPr>
            <w:tcW w:w="986" w:type="dxa"/>
            <w:tcBorders>
              <w:top w:val="nil"/>
              <w:left w:val="nil"/>
              <w:bottom w:val="nil"/>
              <w:right w:val="nil"/>
            </w:tcBorders>
            <w:hideMark/>
          </w:tcPr>
          <w:p w14:paraId="3BA0E47E"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16,5</w:t>
            </w:r>
          </w:p>
        </w:tc>
        <w:tc>
          <w:tcPr>
            <w:tcW w:w="1027" w:type="dxa"/>
            <w:tcBorders>
              <w:top w:val="nil"/>
              <w:left w:val="nil"/>
              <w:bottom w:val="nil"/>
              <w:right w:val="nil"/>
            </w:tcBorders>
            <w:hideMark/>
          </w:tcPr>
          <w:p w14:paraId="266A77B6"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-0,3</w:t>
            </w:r>
          </w:p>
        </w:tc>
        <w:tc>
          <w:tcPr>
            <w:tcW w:w="841" w:type="dxa"/>
            <w:tcBorders>
              <w:top w:val="nil"/>
              <w:left w:val="nil"/>
              <w:bottom w:val="nil"/>
              <w:right w:val="nil"/>
            </w:tcBorders>
            <w:hideMark/>
          </w:tcPr>
          <w:p w14:paraId="5D7F54F6"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12,7</w:t>
            </w:r>
          </w:p>
        </w:tc>
        <w:tc>
          <w:tcPr>
            <w:tcW w:w="856" w:type="dxa"/>
            <w:tcBorders>
              <w:top w:val="nil"/>
              <w:left w:val="nil"/>
              <w:bottom w:val="nil"/>
              <w:right w:val="nil"/>
            </w:tcBorders>
            <w:hideMark/>
          </w:tcPr>
          <w:p w14:paraId="78EB4505"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11,2</w:t>
            </w:r>
          </w:p>
        </w:tc>
      </w:tr>
      <w:tr w:rsidR="00951742" w:rsidRPr="00C62BC1" w14:paraId="2F615356" w14:textId="77777777" w:rsidTr="00480E99">
        <w:trPr>
          <w:trHeight w:val="309"/>
          <w:jc w:val="center"/>
        </w:trPr>
        <w:tc>
          <w:tcPr>
            <w:tcW w:w="4536" w:type="dxa"/>
            <w:tcBorders>
              <w:top w:val="nil"/>
              <w:left w:val="nil"/>
              <w:bottom w:val="nil"/>
              <w:right w:val="nil"/>
            </w:tcBorders>
            <w:shd w:val="clear" w:color="auto" w:fill="FFFFFF"/>
            <w:noWrap/>
            <w:hideMark/>
          </w:tcPr>
          <w:p w14:paraId="14CF5A3E" w14:textId="77777777" w:rsidR="00EF7A8C" w:rsidRPr="00C62BC1" w:rsidRDefault="00EF7A8C" w:rsidP="00480E99">
            <w:pPr>
              <w:rPr>
                <w:rFonts w:ascii="Arial" w:hAnsi="Arial" w:cs="Arial"/>
                <w:sz w:val="20"/>
                <w:szCs w:val="20"/>
              </w:rPr>
            </w:pPr>
            <w:r w:rsidRPr="00C62BC1">
              <w:rPr>
                <w:rFonts w:ascii="Arial" w:hAnsi="Arial" w:cs="Arial"/>
                <w:sz w:val="20"/>
                <w:szCs w:val="20"/>
              </w:rPr>
              <w:t>Sản xuất giấy và sản phẩm từ giấy</w:t>
            </w:r>
          </w:p>
        </w:tc>
        <w:tc>
          <w:tcPr>
            <w:tcW w:w="999" w:type="dxa"/>
            <w:tcBorders>
              <w:top w:val="nil"/>
              <w:left w:val="nil"/>
              <w:bottom w:val="nil"/>
              <w:right w:val="nil"/>
            </w:tcBorders>
            <w:hideMark/>
          </w:tcPr>
          <w:p w14:paraId="71C5B624"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3,1</w:t>
            </w:r>
          </w:p>
        </w:tc>
        <w:tc>
          <w:tcPr>
            <w:tcW w:w="986" w:type="dxa"/>
            <w:tcBorders>
              <w:top w:val="nil"/>
              <w:left w:val="nil"/>
              <w:bottom w:val="nil"/>
              <w:right w:val="nil"/>
            </w:tcBorders>
            <w:hideMark/>
          </w:tcPr>
          <w:p w14:paraId="48E97711"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10,5</w:t>
            </w:r>
          </w:p>
        </w:tc>
        <w:tc>
          <w:tcPr>
            <w:tcW w:w="1027" w:type="dxa"/>
            <w:tcBorders>
              <w:top w:val="nil"/>
              <w:left w:val="nil"/>
              <w:bottom w:val="nil"/>
              <w:right w:val="nil"/>
            </w:tcBorders>
            <w:hideMark/>
          </w:tcPr>
          <w:p w14:paraId="3F89A7E9"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-0,7</w:t>
            </w:r>
          </w:p>
        </w:tc>
        <w:tc>
          <w:tcPr>
            <w:tcW w:w="841" w:type="dxa"/>
            <w:tcBorders>
              <w:top w:val="nil"/>
              <w:left w:val="nil"/>
              <w:bottom w:val="nil"/>
              <w:right w:val="nil"/>
            </w:tcBorders>
            <w:hideMark/>
          </w:tcPr>
          <w:p w14:paraId="1EFB5C3B"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9,5</w:t>
            </w:r>
          </w:p>
        </w:tc>
        <w:tc>
          <w:tcPr>
            <w:tcW w:w="856" w:type="dxa"/>
            <w:tcBorders>
              <w:top w:val="nil"/>
              <w:left w:val="nil"/>
              <w:bottom w:val="nil"/>
              <w:right w:val="nil"/>
            </w:tcBorders>
            <w:hideMark/>
          </w:tcPr>
          <w:p w14:paraId="2C0DFAF5"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11,6</w:t>
            </w:r>
          </w:p>
        </w:tc>
      </w:tr>
      <w:tr w:rsidR="00951742" w:rsidRPr="00C62BC1" w14:paraId="1CC11E0B" w14:textId="77777777" w:rsidTr="00480E99">
        <w:trPr>
          <w:trHeight w:val="309"/>
          <w:jc w:val="center"/>
        </w:trPr>
        <w:tc>
          <w:tcPr>
            <w:tcW w:w="4536" w:type="dxa"/>
            <w:tcBorders>
              <w:top w:val="nil"/>
              <w:left w:val="nil"/>
              <w:bottom w:val="nil"/>
              <w:right w:val="nil"/>
            </w:tcBorders>
            <w:shd w:val="clear" w:color="auto" w:fill="FFFFFF"/>
            <w:noWrap/>
            <w:hideMark/>
          </w:tcPr>
          <w:p w14:paraId="43C6C4E9" w14:textId="77777777" w:rsidR="00EF7A8C" w:rsidRPr="00C62BC1" w:rsidRDefault="00EF7A8C" w:rsidP="00480E99">
            <w:pPr>
              <w:rPr>
                <w:rFonts w:ascii="Arial" w:hAnsi="Arial" w:cs="Arial"/>
                <w:sz w:val="20"/>
                <w:szCs w:val="20"/>
              </w:rPr>
            </w:pPr>
            <w:r w:rsidRPr="00C62BC1">
              <w:rPr>
                <w:rFonts w:ascii="Arial" w:hAnsi="Arial" w:cs="Arial"/>
                <w:sz w:val="20"/>
                <w:szCs w:val="20"/>
              </w:rPr>
              <w:t>Sản xuất than cốc, sản phẩm dầu mỏ tinh chế</w:t>
            </w:r>
          </w:p>
        </w:tc>
        <w:tc>
          <w:tcPr>
            <w:tcW w:w="999" w:type="dxa"/>
            <w:tcBorders>
              <w:top w:val="nil"/>
              <w:left w:val="nil"/>
              <w:bottom w:val="nil"/>
              <w:right w:val="nil"/>
            </w:tcBorders>
            <w:hideMark/>
          </w:tcPr>
          <w:p w14:paraId="3B7D011A"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7,5</w:t>
            </w:r>
          </w:p>
        </w:tc>
        <w:tc>
          <w:tcPr>
            <w:tcW w:w="986" w:type="dxa"/>
            <w:tcBorders>
              <w:top w:val="nil"/>
              <w:left w:val="nil"/>
              <w:bottom w:val="nil"/>
              <w:right w:val="nil"/>
            </w:tcBorders>
            <w:hideMark/>
          </w:tcPr>
          <w:p w14:paraId="45A00FD9"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8,9</w:t>
            </w:r>
          </w:p>
        </w:tc>
        <w:tc>
          <w:tcPr>
            <w:tcW w:w="1027" w:type="dxa"/>
            <w:tcBorders>
              <w:top w:val="nil"/>
              <w:left w:val="nil"/>
              <w:bottom w:val="nil"/>
              <w:right w:val="nil"/>
            </w:tcBorders>
            <w:hideMark/>
          </w:tcPr>
          <w:p w14:paraId="288CC3A9"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1,3</w:t>
            </w:r>
          </w:p>
        </w:tc>
        <w:tc>
          <w:tcPr>
            <w:tcW w:w="841" w:type="dxa"/>
            <w:tcBorders>
              <w:top w:val="nil"/>
              <w:left w:val="nil"/>
              <w:bottom w:val="nil"/>
              <w:right w:val="nil"/>
            </w:tcBorders>
            <w:hideMark/>
          </w:tcPr>
          <w:p w14:paraId="3B3AFD57"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14,5</w:t>
            </w:r>
          </w:p>
        </w:tc>
        <w:tc>
          <w:tcPr>
            <w:tcW w:w="856" w:type="dxa"/>
            <w:tcBorders>
              <w:top w:val="nil"/>
              <w:left w:val="nil"/>
              <w:bottom w:val="nil"/>
              <w:right w:val="nil"/>
            </w:tcBorders>
            <w:hideMark/>
          </w:tcPr>
          <w:p w14:paraId="6115CF5D"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10,6</w:t>
            </w:r>
          </w:p>
        </w:tc>
      </w:tr>
      <w:tr w:rsidR="00951742" w:rsidRPr="00C62BC1" w14:paraId="79098A3B" w14:textId="77777777" w:rsidTr="00480E99">
        <w:trPr>
          <w:trHeight w:val="309"/>
          <w:jc w:val="center"/>
        </w:trPr>
        <w:tc>
          <w:tcPr>
            <w:tcW w:w="4536" w:type="dxa"/>
            <w:tcBorders>
              <w:top w:val="nil"/>
              <w:left w:val="nil"/>
              <w:bottom w:val="nil"/>
              <w:right w:val="nil"/>
            </w:tcBorders>
            <w:shd w:val="clear" w:color="auto" w:fill="FFFFFF"/>
            <w:noWrap/>
            <w:hideMark/>
          </w:tcPr>
          <w:p w14:paraId="37AA5E1E" w14:textId="77777777" w:rsidR="00EF7A8C" w:rsidRPr="00C62BC1" w:rsidRDefault="00EF7A8C" w:rsidP="00480E99">
            <w:pPr>
              <w:rPr>
                <w:rFonts w:ascii="Arial" w:hAnsi="Arial" w:cs="Arial"/>
                <w:sz w:val="20"/>
                <w:szCs w:val="20"/>
              </w:rPr>
            </w:pPr>
            <w:r w:rsidRPr="00C62BC1">
              <w:rPr>
                <w:rFonts w:ascii="Arial" w:hAnsi="Arial" w:cs="Arial"/>
                <w:sz w:val="20"/>
                <w:szCs w:val="20"/>
              </w:rPr>
              <w:t>Sản xuất hoá chất và sản phẩm hoá chất</w:t>
            </w:r>
          </w:p>
        </w:tc>
        <w:tc>
          <w:tcPr>
            <w:tcW w:w="999" w:type="dxa"/>
            <w:tcBorders>
              <w:top w:val="nil"/>
              <w:left w:val="nil"/>
              <w:bottom w:val="nil"/>
              <w:right w:val="nil"/>
            </w:tcBorders>
            <w:hideMark/>
          </w:tcPr>
          <w:p w14:paraId="1DE981BD"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-0,8</w:t>
            </w:r>
          </w:p>
        </w:tc>
        <w:tc>
          <w:tcPr>
            <w:tcW w:w="986" w:type="dxa"/>
            <w:tcBorders>
              <w:top w:val="nil"/>
              <w:left w:val="nil"/>
              <w:bottom w:val="nil"/>
              <w:right w:val="nil"/>
            </w:tcBorders>
            <w:hideMark/>
          </w:tcPr>
          <w:p w14:paraId="2222E529"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4,0</w:t>
            </w:r>
          </w:p>
        </w:tc>
        <w:tc>
          <w:tcPr>
            <w:tcW w:w="1027" w:type="dxa"/>
            <w:tcBorders>
              <w:top w:val="nil"/>
              <w:left w:val="nil"/>
              <w:bottom w:val="nil"/>
              <w:right w:val="nil"/>
            </w:tcBorders>
            <w:hideMark/>
          </w:tcPr>
          <w:p w14:paraId="2FBE23E5"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8,8</w:t>
            </w:r>
          </w:p>
        </w:tc>
        <w:tc>
          <w:tcPr>
            <w:tcW w:w="841" w:type="dxa"/>
            <w:tcBorders>
              <w:top w:val="nil"/>
              <w:left w:val="nil"/>
              <w:bottom w:val="nil"/>
              <w:right w:val="nil"/>
            </w:tcBorders>
            <w:hideMark/>
          </w:tcPr>
          <w:p w14:paraId="2C73E567"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13,5</w:t>
            </w:r>
          </w:p>
        </w:tc>
        <w:tc>
          <w:tcPr>
            <w:tcW w:w="856" w:type="dxa"/>
            <w:tcBorders>
              <w:top w:val="nil"/>
              <w:left w:val="nil"/>
              <w:bottom w:val="nil"/>
              <w:right w:val="nil"/>
            </w:tcBorders>
            <w:hideMark/>
          </w:tcPr>
          <w:p w14:paraId="753478C1"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11,2</w:t>
            </w:r>
          </w:p>
        </w:tc>
      </w:tr>
      <w:tr w:rsidR="00951742" w:rsidRPr="00C62BC1" w14:paraId="4813FE8F" w14:textId="77777777" w:rsidTr="00480E99">
        <w:trPr>
          <w:trHeight w:val="309"/>
          <w:jc w:val="center"/>
        </w:trPr>
        <w:tc>
          <w:tcPr>
            <w:tcW w:w="4536" w:type="dxa"/>
            <w:tcBorders>
              <w:top w:val="nil"/>
              <w:left w:val="nil"/>
              <w:bottom w:val="nil"/>
              <w:right w:val="nil"/>
            </w:tcBorders>
            <w:shd w:val="clear" w:color="auto" w:fill="FFFFFF"/>
            <w:noWrap/>
            <w:hideMark/>
          </w:tcPr>
          <w:p w14:paraId="7E08FF07" w14:textId="77777777" w:rsidR="00EF7A8C" w:rsidRPr="00C62BC1" w:rsidRDefault="00EF7A8C" w:rsidP="00480E99">
            <w:pPr>
              <w:rPr>
                <w:rFonts w:ascii="Arial" w:hAnsi="Arial" w:cs="Arial"/>
                <w:sz w:val="20"/>
                <w:szCs w:val="20"/>
              </w:rPr>
            </w:pPr>
            <w:r w:rsidRPr="00C62BC1">
              <w:rPr>
                <w:rFonts w:ascii="Arial" w:hAnsi="Arial" w:cs="Arial"/>
                <w:sz w:val="20"/>
                <w:szCs w:val="20"/>
              </w:rPr>
              <w:t>Sản xuất sản phẩm từ cao su và plastic</w:t>
            </w:r>
          </w:p>
        </w:tc>
        <w:tc>
          <w:tcPr>
            <w:tcW w:w="999" w:type="dxa"/>
            <w:tcBorders>
              <w:top w:val="nil"/>
              <w:left w:val="nil"/>
              <w:bottom w:val="nil"/>
              <w:right w:val="nil"/>
            </w:tcBorders>
            <w:hideMark/>
          </w:tcPr>
          <w:p w14:paraId="3A2CAAA7"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0,3</w:t>
            </w:r>
          </w:p>
        </w:tc>
        <w:tc>
          <w:tcPr>
            <w:tcW w:w="986" w:type="dxa"/>
            <w:tcBorders>
              <w:top w:val="nil"/>
              <w:left w:val="nil"/>
              <w:bottom w:val="nil"/>
              <w:right w:val="nil"/>
            </w:tcBorders>
            <w:hideMark/>
          </w:tcPr>
          <w:p w14:paraId="5E9B8CED"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-6,5</w:t>
            </w:r>
          </w:p>
        </w:tc>
        <w:tc>
          <w:tcPr>
            <w:tcW w:w="1027" w:type="dxa"/>
            <w:tcBorders>
              <w:top w:val="nil"/>
              <w:left w:val="nil"/>
              <w:bottom w:val="nil"/>
              <w:right w:val="nil"/>
            </w:tcBorders>
            <w:hideMark/>
          </w:tcPr>
          <w:p w14:paraId="107A4C26"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12,1</w:t>
            </w:r>
          </w:p>
        </w:tc>
        <w:tc>
          <w:tcPr>
            <w:tcW w:w="841" w:type="dxa"/>
            <w:tcBorders>
              <w:top w:val="nil"/>
              <w:left w:val="nil"/>
              <w:bottom w:val="nil"/>
              <w:right w:val="nil"/>
            </w:tcBorders>
            <w:hideMark/>
          </w:tcPr>
          <w:p w14:paraId="3EC7FE6F"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25,4</w:t>
            </w:r>
          </w:p>
        </w:tc>
        <w:tc>
          <w:tcPr>
            <w:tcW w:w="856" w:type="dxa"/>
            <w:tcBorders>
              <w:top w:val="nil"/>
              <w:left w:val="nil"/>
              <w:bottom w:val="nil"/>
              <w:right w:val="nil"/>
            </w:tcBorders>
            <w:hideMark/>
          </w:tcPr>
          <w:p w14:paraId="1978BDBF"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16,4</w:t>
            </w:r>
          </w:p>
        </w:tc>
      </w:tr>
      <w:tr w:rsidR="00951742" w:rsidRPr="00C62BC1" w14:paraId="50015AC4" w14:textId="77777777" w:rsidTr="00480E99">
        <w:trPr>
          <w:trHeight w:val="309"/>
          <w:jc w:val="center"/>
        </w:trPr>
        <w:tc>
          <w:tcPr>
            <w:tcW w:w="4536" w:type="dxa"/>
            <w:tcBorders>
              <w:top w:val="nil"/>
              <w:left w:val="nil"/>
              <w:bottom w:val="nil"/>
              <w:right w:val="nil"/>
            </w:tcBorders>
            <w:shd w:val="clear" w:color="auto" w:fill="FFFFFF"/>
            <w:noWrap/>
            <w:hideMark/>
          </w:tcPr>
          <w:p w14:paraId="42199A4D" w14:textId="77777777" w:rsidR="00EF7A8C" w:rsidRPr="00C62BC1" w:rsidRDefault="00EF7A8C" w:rsidP="00480E99">
            <w:pPr>
              <w:rPr>
                <w:rFonts w:ascii="Arial" w:hAnsi="Arial" w:cs="Arial"/>
                <w:sz w:val="20"/>
                <w:szCs w:val="20"/>
              </w:rPr>
            </w:pPr>
            <w:r w:rsidRPr="00C62BC1">
              <w:rPr>
                <w:rFonts w:ascii="Arial" w:hAnsi="Arial" w:cs="Arial"/>
                <w:sz w:val="20"/>
                <w:szCs w:val="20"/>
              </w:rPr>
              <w:t>Sản xuất sản phẩm từ khoáng phi kim loại khác</w:t>
            </w:r>
          </w:p>
        </w:tc>
        <w:tc>
          <w:tcPr>
            <w:tcW w:w="999" w:type="dxa"/>
            <w:tcBorders>
              <w:top w:val="nil"/>
              <w:left w:val="nil"/>
              <w:bottom w:val="nil"/>
              <w:right w:val="nil"/>
            </w:tcBorders>
            <w:hideMark/>
          </w:tcPr>
          <w:p w14:paraId="6B415A74"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1,7</w:t>
            </w:r>
          </w:p>
        </w:tc>
        <w:tc>
          <w:tcPr>
            <w:tcW w:w="986" w:type="dxa"/>
            <w:tcBorders>
              <w:top w:val="nil"/>
              <w:left w:val="nil"/>
              <w:bottom w:val="nil"/>
              <w:right w:val="nil"/>
            </w:tcBorders>
            <w:hideMark/>
          </w:tcPr>
          <w:p w14:paraId="45381637"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6,0</w:t>
            </w:r>
          </w:p>
        </w:tc>
        <w:tc>
          <w:tcPr>
            <w:tcW w:w="1027" w:type="dxa"/>
            <w:tcBorders>
              <w:top w:val="nil"/>
              <w:left w:val="nil"/>
              <w:bottom w:val="nil"/>
              <w:right w:val="nil"/>
            </w:tcBorders>
            <w:hideMark/>
          </w:tcPr>
          <w:p w14:paraId="13B92269"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-4,0</w:t>
            </w:r>
          </w:p>
        </w:tc>
        <w:tc>
          <w:tcPr>
            <w:tcW w:w="841" w:type="dxa"/>
            <w:tcBorders>
              <w:top w:val="nil"/>
              <w:left w:val="nil"/>
              <w:bottom w:val="nil"/>
              <w:right w:val="nil"/>
            </w:tcBorders>
            <w:hideMark/>
          </w:tcPr>
          <w:p w14:paraId="4069D53C"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0,6</w:t>
            </w:r>
          </w:p>
        </w:tc>
        <w:tc>
          <w:tcPr>
            <w:tcW w:w="856" w:type="dxa"/>
            <w:tcBorders>
              <w:top w:val="nil"/>
              <w:left w:val="nil"/>
              <w:bottom w:val="nil"/>
              <w:right w:val="nil"/>
            </w:tcBorders>
            <w:hideMark/>
          </w:tcPr>
          <w:p w14:paraId="37263664"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16,5</w:t>
            </w:r>
          </w:p>
        </w:tc>
      </w:tr>
      <w:tr w:rsidR="00951742" w:rsidRPr="00C62BC1" w14:paraId="6FA5FD00" w14:textId="77777777" w:rsidTr="00480E99">
        <w:trPr>
          <w:trHeight w:val="309"/>
          <w:jc w:val="center"/>
        </w:trPr>
        <w:tc>
          <w:tcPr>
            <w:tcW w:w="4536" w:type="dxa"/>
            <w:tcBorders>
              <w:top w:val="nil"/>
              <w:left w:val="nil"/>
              <w:bottom w:val="nil"/>
              <w:right w:val="nil"/>
            </w:tcBorders>
            <w:shd w:val="clear" w:color="auto" w:fill="FFFFFF"/>
            <w:noWrap/>
            <w:hideMark/>
          </w:tcPr>
          <w:p w14:paraId="5F03F322" w14:textId="77777777" w:rsidR="00EF7A8C" w:rsidRPr="00C62BC1" w:rsidRDefault="00EF7A8C" w:rsidP="00480E99">
            <w:pPr>
              <w:rPr>
                <w:rFonts w:ascii="Arial" w:hAnsi="Arial" w:cs="Arial"/>
                <w:sz w:val="20"/>
                <w:szCs w:val="20"/>
              </w:rPr>
            </w:pPr>
            <w:r w:rsidRPr="00C62BC1">
              <w:rPr>
                <w:rFonts w:ascii="Arial" w:hAnsi="Arial" w:cs="Arial"/>
                <w:sz w:val="20"/>
                <w:szCs w:val="20"/>
              </w:rPr>
              <w:t>Sản xuất kim loại</w:t>
            </w:r>
          </w:p>
        </w:tc>
        <w:tc>
          <w:tcPr>
            <w:tcW w:w="999" w:type="dxa"/>
            <w:tcBorders>
              <w:top w:val="nil"/>
              <w:left w:val="nil"/>
              <w:bottom w:val="nil"/>
              <w:right w:val="nil"/>
            </w:tcBorders>
            <w:hideMark/>
          </w:tcPr>
          <w:p w14:paraId="359348B4"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23,4</w:t>
            </w:r>
          </w:p>
        </w:tc>
        <w:tc>
          <w:tcPr>
            <w:tcW w:w="986" w:type="dxa"/>
            <w:tcBorders>
              <w:top w:val="nil"/>
              <w:left w:val="nil"/>
              <w:bottom w:val="nil"/>
              <w:right w:val="nil"/>
            </w:tcBorders>
            <w:hideMark/>
          </w:tcPr>
          <w:p w14:paraId="6E58E3B3"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-2,4</w:t>
            </w:r>
          </w:p>
        </w:tc>
        <w:tc>
          <w:tcPr>
            <w:tcW w:w="1027" w:type="dxa"/>
            <w:tcBorders>
              <w:top w:val="nil"/>
              <w:left w:val="nil"/>
              <w:bottom w:val="nil"/>
              <w:right w:val="nil"/>
            </w:tcBorders>
            <w:hideMark/>
          </w:tcPr>
          <w:p w14:paraId="632440B6"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4,4</w:t>
            </w:r>
          </w:p>
        </w:tc>
        <w:tc>
          <w:tcPr>
            <w:tcW w:w="841" w:type="dxa"/>
            <w:tcBorders>
              <w:top w:val="nil"/>
              <w:left w:val="nil"/>
              <w:bottom w:val="nil"/>
              <w:right w:val="nil"/>
            </w:tcBorders>
            <w:hideMark/>
          </w:tcPr>
          <w:p w14:paraId="00D37B89"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9,8</w:t>
            </w:r>
          </w:p>
        </w:tc>
        <w:tc>
          <w:tcPr>
            <w:tcW w:w="856" w:type="dxa"/>
            <w:tcBorders>
              <w:top w:val="nil"/>
              <w:left w:val="nil"/>
              <w:bottom w:val="nil"/>
              <w:right w:val="nil"/>
            </w:tcBorders>
            <w:hideMark/>
          </w:tcPr>
          <w:p w14:paraId="4C36DC15"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15,5</w:t>
            </w:r>
          </w:p>
        </w:tc>
      </w:tr>
      <w:tr w:rsidR="00951742" w:rsidRPr="00C62BC1" w14:paraId="1E57B0CC" w14:textId="77777777" w:rsidTr="00480E99">
        <w:trPr>
          <w:trHeight w:val="309"/>
          <w:jc w:val="center"/>
        </w:trPr>
        <w:tc>
          <w:tcPr>
            <w:tcW w:w="4536" w:type="dxa"/>
            <w:tcBorders>
              <w:top w:val="nil"/>
              <w:left w:val="nil"/>
              <w:bottom w:val="nil"/>
              <w:right w:val="nil"/>
            </w:tcBorders>
            <w:shd w:val="clear" w:color="auto" w:fill="FFFFFF"/>
            <w:noWrap/>
            <w:hideMark/>
          </w:tcPr>
          <w:p w14:paraId="4DE7D978" w14:textId="77777777" w:rsidR="00EF7A8C" w:rsidRPr="00C62BC1" w:rsidRDefault="00EF7A8C" w:rsidP="00480E99">
            <w:pPr>
              <w:rPr>
                <w:rFonts w:ascii="Arial" w:hAnsi="Arial" w:cs="Arial"/>
                <w:sz w:val="20"/>
                <w:szCs w:val="20"/>
              </w:rPr>
            </w:pPr>
            <w:r w:rsidRPr="00C62BC1">
              <w:rPr>
                <w:rFonts w:ascii="Arial" w:hAnsi="Arial" w:cs="Arial"/>
                <w:sz w:val="20"/>
                <w:szCs w:val="20"/>
              </w:rPr>
              <w:t>Sản xuất sản phẩm từ kim loại đúc sẵn (trừ máy móc, thiết bị)</w:t>
            </w:r>
          </w:p>
        </w:tc>
        <w:tc>
          <w:tcPr>
            <w:tcW w:w="999" w:type="dxa"/>
            <w:tcBorders>
              <w:top w:val="nil"/>
              <w:left w:val="nil"/>
              <w:bottom w:val="nil"/>
              <w:right w:val="nil"/>
            </w:tcBorders>
            <w:hideMark/>
          </w:tcPr>
          <w:p w14:paraId="528E9CCC"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4,5</w:t>
            </w:r>
          </w:p>
        </w:tc>
        <w:tc>
          <w:tcPr>
            <w:tcW w:w="986" w:type="dxa"/>
            <w:tcBorders>
              <w:top w:val="nil"/>
              <w:left w:val="nil"/>
              <w:bottom w:val="nil"/>
              <w:right w:val="nil"/>
            </w:tcBorders>
            <w:hideMark/>
          </w:tcPr>
          <w:p w14:paraId="44220D89"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7,7</w:t>
            </w:r>
          </w:p>
        </w:tc>
        <w:tc>
          <w:tcPr>
            <w:tcW w:w="1027" w:type="dxa"/>
            <w:tcBorders>
              <w:top w:val="nil"/>
              <w:left w:val="nil"/>
              <w:bottom w:val="nil"/>
              <w:right w:val="nil"/>
            </w:tcBorders>
            <w:hideMark/>
          </w:tcPr>
          <w:p w14:paraId="696E08EC"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8,3</w:t>
            </w:r>
          </w:p>
        </w:tc>
        <w:tc>
          <w:tcPr>
            <w:tcW w:w="841" w:type="dxa"/>
            <w:tcBorders>
              <w:top w:val="nil"/>
              <w:left w:val="nil"/>
              <w:bottom w:val="nil"/>
              <w:right w:val="nil"/>
            </w:tcBorders>
            <w:hideMark/>
          </w:tcPr>
          <w:p w14:paraId="3D5942DD"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11,3</w:t>
            </w:r>
          </w:p>
        </w:tc>
        <w:tc>
          <w:tcPr>
            <w:tcW w:w="856" w:type="dxa"/>
            <w:tcBorders>
              <w:top w:val="nil"/>
              <w:left w:val="nil"/>
              <w:bottom w:val="nil"/>
              <w:right w:val="nil"/>
            </w:tcBorders>
            <w:hideMark/>
          </w:tcPr>
          <w:p w14:paraId="2466FF2A"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12,6</w:t>
            </w:r>
          </w:p>
        </w:tc>
      </w:tr>
      <w:tr w:rsidR="00951742" w:rsidRPr="00C62BC1" w14:paraId="4B583B5F" w14:textId="77777777" w:rsidTr="00480E99">
        <w:trPr>
          <w:trHeight w:val="309"/>
          <w:jc w:val="center"/>
        </w:trPr>
        <w:tc>
          <w:tcPr>
            <w:tcW w:w="4536" w:type="dxa"/>
            <w:tcBorders>
              <w:top w:val="nil"/>
              <w:left w:val="nil"/>
              <w:bottom w:val="nil"/>
              <w:right w:val="nil"/>
            </w:tcBorders>
            <w:shd w:val="clear" w:color="auto" w:fill="FFFFFF"/>
            <w:noWrap/>
            <w:hideMark/>
          </w:tcPr>
          <w:p w14:paraId="252640FA" w14:textId="77777777" w:rsidR="00EF7A8C" w:rsidRPr="00C62BC1" w:rsidRDefault="00EF7A8C" w:rsidP="00480E99">
            <w:pPr>
              <w:rPr>
                <w:rFonts w:ascii="Arial" w:hAnsi="Arial" w:cs="Arial"/>
                <w:sz w:val="20"/>
                <w:szCs w:val="20"/>
              </w:rPr>
            </w:pPr>
            <w:r w:rsidRPr="00C62BC1">
              <w:rPr>
                <w:rFonts w:ascii="Arial" w:hAnsi="Arial" w:cs="Arial"/>
                <w:sz w:val="20"/>
                <w:szCs w:val="20"/>
              </w:rPr>
              <w:t>Sản xuất sản phẩm điện tử, máy vi tính và sản phẩm quang học</w:t>
            </w:r>
          </w:p>
        </w:tc>
        <w:tc>
          <w:tcPr>
            <w:tcW w:w="999" w:type="dxa"/>
            <w:tcBorders>
              <w:top w:val="nil"/>
              <w:left w:val="nil"/>
              <w:bottom w:val="nil"/>
              <w:right w:val="nil"/>
            </w:tcBorders>
            <w:hideMark/>
          </w:tcPr>
          <w:p w14:paraId="47977982"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8,6</w:t>
            </w:r>
          </w:p>
        </w:tc>
        <w:tc>
          <w:tcPr>
            <w:tcW w:w="986" w:type="dxa"/>
            <w:tcBorders>
              <w:top w:val="nil"/>
              <w:left w:val="nil"/>
              <w:bottom w:val="nil"/>
              <w:right w:val="nil"/>
            </w:tcBorders>
            <w:hideMark/>
          </w:tcPr>
          <w:p w14:paraId="191D3D08"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8,6</w:t>
            </w:r>
          </w:p>
        </w:tc>
        <w:tc>
          <w:tcPr>
            <w:tcW w:w="1027" w:type="dxa"/>
            <w:tcBorders>
              <w:top w:val="nil"/>
              <w:left w:val="nil"/>
              <w:bottom w:val="nil"/>
              <w:right w:val="nil"/>
            </w:tcBorders>
            <w:hideMark/>
          </w:tcPr>
          <w:p w14:paraId="11BB165A"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-1,4</w:t>
            </w:r>
          </w:p>
        </w:tc>
        <w:tc>
          <w:tcPr>
            <w:tcW w:w="841" w:type="dxa"/>
            <w:tcBorders>
              <w:top w:val="nil"/>
              <w:left w:val="nil"/>
              <w:bottom w:val="nil"/>
              <w:right w:val="nil"/>
            </w:tcBorders>
            <w:hideMark/>
          </w:tcPr>
          <w:p w14:paraId="5155483F"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8,3</w:t>
            </w:r>
          </w:p>
        </w:tc>
        <w:tc>
          <w:tcPr>
            <w:tcW w:w="856" w:type="dxa"/>
            <w:tcBorders>
              <w:top w:val="nil"/>
              <w:left w:val="nil"/>
              <w:bottom w:val="nil"/>
              <w:right w:val="nil"/>
            </w:tcBorders>
            <w:hideMark/>
          </w:tcPr>
          <w:p w14:paraId="4FC172A6"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8,5</w:t>
            </w:r>
          </w:p>
        </w:tc>
      </w:tr>
      <w:tr w:rsidR="00951742" w:rsidRPr="00C62BC1" w14:paraId="1FCDF5AE" w14:textId="77777777" w:rsidTr="00480E99">
        <w:trPr>
          <w:trHeight w:val="309"/>
          <w:jc w:val="center"/>
        </w:trPr>
        <w:tc>
          <w:tcPr>
            <w:tcW w:w="4536" w:type="dxa"/>
            <w:tcBorders>
              <w:top w:val="nil"/>
              <w:left w:val="nil"/>
              <w:bottom w:val="nil"/>
              <w:right w:val="nil"/>
            </w:tcBorders>
            <w:shd w:val="clear" w:color="auto" w:fill="FFFFFF"/>
            <w:noWrap/>
            <w:hideMark/>
          </w:tcPr>
          <w:p w14:paraId="12EA8906" w14:textId="77777777" w:rsidR="00EF7A8C" w:rsidRPr="00C62BC1" w:rsidRDefault="00EF7A8C" w:rsidP="00480E99">
            <w:pPr>
              <w:rPr>
                <w:rFonts w:ascii="Arial" w:hAnsi="Arial" w:cs="Arial"/>
                <w:sz w:val="20"/>
                <w:szCs w:val="20"/>
              </w:rPr>
            </w:pPr>
            <w:r w:rsidRPr="00C62BC1">
              <w:rPr>
                <w:rFonts w:ascii="Arial" w:hAnsi="Arial" w:cs="Arial"/>
                <w:sz w:val="20"/>
                <w:szCs w:val="20"/>
              </w:rPr>
              <w:t>Sản xuất xe có động cơ</w:t>
            </w:r>
          </w:p>
        </w:tc>
        <w:tc>
          <w:tcPr>
            <w:tcW w:w="999" w:type="dxa"/>
            <w:tcBorders>
              <w:top w:val="nil"/>
              <w:left w:val="nil"/>
              <w:bottom w:val="nil"/>
              <w:right w:val="nil"/>
            </w:tcBorders>
            <w:hideMark/>
          </w:tcPr>
          <w:p w14:paraId="4A977908"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11,5</w:t>
            </w:r>
          </w:p>
        </w:tc>
        <w:tc>
          <w:tcPr>
            <w:tcW w:w="986" w:type="dxa"/>
            <w:tcBorders>
              <w:top w:val="nil"/>
              <w:left w:val="nil"/>
              <w:bottom w:val="nil"/>
              <w:right w:val="nil"/>
            </w:tcBorders>
            <w:hideMark/>
          </w:tcPr>
          <w:p w14:paraId="300AF72F"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6,5</w:t>
            </w:r>
          </w:p>
        </w:tc>
        <w:tc>
          <w:tcPr>
            <w:tcW w:w="1027" w:type="dxa"/>
            <w:tcBorders>
              <w:top w:val="nil"/>
              <w:left w:val="nil"/>
              <w:bottom w:val="nil"/>
              <w:right w:val="nil"/>
            </w:tcBorders>
            <w:hideMark/>
          </w:tcPr>
          <w:p w14:paraId="2FB9804B"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-3,7</w:t>
            </w:r>
          </w:p>
        </w:tc>
        <w:tc>
          <w:tcPr>
            <w:tcW w:w="841" w:type="dxa"/>
            <w:tcBorders>
              <w:top w:val="nil"/>
              <w:left w:val="nil"/>
              <w:bottom w:val="nil"/>
              <w:right w:val="nil"/>
            </w:tcBorders>
            <w:hideMark/>
          </w:tcPr>
          <w:p w14:paraId="7A7B9C40"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19,7</w:t>
            </w:r>
          </w:p>
        </w:tc>
        <w:tc>
          <w:tcPr>
            <w:tcW w:w="856" w:type="dxa"/>
            <w:tcBorders>
              <w:top w:val="nil"/>
              <w:left w:val="nil"/>
              <w:bottom w:val="nil"/>
              <w:right w:val="nil"/>
            </w:tcBorders>
            <w:hideMark/>
          </w:tcPr>
          <w:p w14:paraId="73264FBD"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22,0</w:t>
            </w:r>
          </w:p>
        </w:tc>
      </w:tr>
      <w:tr w:rsidR="00951742" w:rsidRPr="00C62BC1" w14:paraId="0300B44E" w14:textId="77777777" w:rsidTr="00480E99">
        <w:trPr>
          <w:trHeight w:val="309"/>
          <w:jc w:val="center"/>
        </w:trPr>
        <w:tc>
          <w:tcPr>
            <w:tcW w:w="4536" w:type="dxa"/>
            <w:tcBorders>
              <w:top w:val="nil"/>
              <w:left w:val="nil"/>
              <w:bottom w:val="single" w:sz="4" w:space="0" w:color="auto"/>
              <w:right w:val="nil"/>
            </w:tcBorders>
            <w:shd w:val="clear" w:color="auto" w:fill="FFFFFF"/>
            <w:noWrap/>
            <w:hideMark/>
          </w:tcPr>
          <w:p w14:paraId="3B56DCF8" w14:textId="77777777" w:rsidR="00EF7A8C" w:rsidRPr="00C62BC1" w:rsidRDefault="00EF7A8C" w:rsidP="00480E99">
            <w:pPr>
              <w:rPr>
                <w:rFonts w:ascii="Arial" w:hAnsi="Arial" w:cs="Arial"/>
                <w:sz w:val="20"/>
                <w:szCs w:val="20"/>
              </w:rPr>
            </w:pPr>
            <w:r w:rsidRPr="00C62BC1">
              <w:rPr>
                <w:rFonts w:ascii="Arial" w:hAnsi="Arial" w:cs="Arial"/>
                <w:sz w:val="20"/>
                <w:szCs w:val="20"/>
              </w:rPr>
              <w:t>Sản xuất giường, tủ, bàn, ghế</w:t>
            </w:r>
          </w:p>
        </w:tc>
        <w:tc>
          <w:tcPr>
            <w:tcW w:w="999" w:type="dxa"/>
            <w:tcBorders>
              <w:top w:val="nil"/>
              <w:left w:val="nil"/>
              <w:bottom w:val="single" w:sz="4" w:space="0" w:color="auto"/>
              <w:right w:val="nil"/>
            </w:tcBorders>
            <w:hideMark/>
          </w:tcPr>
          <w:p w14:paraId="0E67D7E2"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0,8</w:t>
            </w:r>
          </w:p>
        </w:tc>
        <w:tc>
          <w:tcPr>
            <w:tcW w:w="986" w:type="dxa"/>
            <w:tcBorders>
              <w:top w:val="nil"/>
              <w:left w:val="nil"/>
              <w:bottom w:val="single" w:sz="4" w:space="0" w:color="auto"/>
              <w:right w:val="nil"/>
            </w:tcBorders>
            <w:hideMark/>
          </w:tcPr>
          <w:p w14:paraId="40D1BF03"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1,9</w:t>
            </w:r>
          </w:p>
        </w:tc>
        <w:tc>
          <w:tcPr>
            <w:tcW w:w="1027" w:type="dxa"/>
            <w:tcBorders>
              <w:top w:val="nil"/>
              <w:left w:val="nil"/>
              <w:bottom w:val="single" w:sz="4" w:space="0" w:color="auto"/>
              <w:right w:val="nil"/>
            </w:tcBorders>
            <w:hideMark/>
          </w:tcPr>
          <w:p w14:paraId="49999B9F"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7,8</w:t>
            </w:r>
          </w:p>
        </w:tc>
        <w:tc>
          <w:tcPr>
            <w:tcW w:w="841" w:type="dxa"/>
            <w:tcBorders>
              <w:top w:val="nil"/>
              <w:left w:val="nil"/>
              <w:bottom w:val="single" w:sz="4" w:space="0" w:color="auto"/>
              <w:right w:val="nil"/>
            </w:tcBorders>
            <w:hideMark/>
          </w:tcPr>
          <w:p w14:paraId="24F4122F"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25,0</w:t>
            </w:r>
          </w:p>
        </w:tc>
        <w:tc>
          <w:tcPr>
            <w:tcW w:w="856" w:type="dxa"/>
            <w:tcBorders>
              <w:top w:val="nil"/>
              <w:left w:val="nil"/>
              <w:bottom w:val="single" w:sz="4" w:space="0" w:color="auto"/>
              <w:right w:val="nil"/>
            </w:tcBorders>
            <w:hideMark/>
          </w:tcPr>
          <w:p w14:paraId="426A4C5F" w14:textId="77777777" w:rsidR="00EF7A8C" w:rsidRPr="00C62BC1" w:rsidRDefault="00EF7A8C" w:rsidP="00480E99">
            <w:pPr>
              <w:jc w:val="center"/>
              <w:rPr>
                <w:rFonts w:ascii="Arial" w:hAnsi="Arial" w:cs="Arial"/>
                <w:sz w:val="20"/>
                <w:szCs w:val="20"/>
              </w:rPr>
            </w:pPr>
            <w:r w:rsidRPr="00C62BC1">
              <w:rPr>
                <w:rFonts w:ascii="Arial" w:hAnsi="Arial" w:cs="Arial"/>
                <w:sz w:val="20"/>
                <w:szCs w:val="20"/>
              </w:rPr>
              <w:t>10,1</w:t>
            </w:r>
          </w:p>
        </w:tc>
      </w:tr>
    </w:tbl>
    <w:p w14:paraId="4D11B501" w14:textId="77777777" w:rsidR="00EF7A8C" w:rsidRPr="00C62BC1" w:rsidRDefault="00EF7A8C" w:rsidP="00C62BC1">
      <w:pPr>
        <w:shd w:val="clear" w:color="auto" w:fill="FFFFFF"/>
        <w:spacing w:before="120" w:after="120" w:line="264" w:lineRule="auto"/>
        <w:ind w:firstLine="720"/>
        <w:jc w:val="both"/>
        <w:rPr>
          <w:lang w:val="pl-PL"/>
        </w:rPr>
      </w:pPr>
      <w:r w:rsidRPr="00C62BC1">
        <w:rPr>
          <w:i/>
          <w:lang w:val="pl-PL"/>
        </w:rPr>
        <w:t xml:space="preserve">Chỉ số sản xuất công nghiệp mười một </w:t>
      </w:r>
      <w:r w:rsidRPr="00C62BC1">
        <w:rPr>
          <w:i/>
          <w:lang w:val="vi-VN"/>
        </w:rPr>
        <w:t>tháng năm 202</w:t>
      </w:r>
      <w:r w:rsidRPr="00C62BC1">
        <w:rPr>
          <w:i/>
          <w:lang w:val="pl-PL"/>
        </w:rPr>
        <w:t>5 so với cùng kỳ năm trước tăng ở cả</w:t>
      </w:r>
      <w:r w:rsidRPr="00C62BC1">
        <w:rPr>
          <w:i/>
          <w:lang w:val="vi-VN"/>
        </w:rPr>
        <w:t xml:space="preserve"> 34 </w:t>
      </w:r>
      <w:r w:rsidRPr="00C62BC1">
        <w:rPr>
          <w:i/>
        </w:rPr>
        <w:t>địa</w:t>
      </w:r>
      <w:r w:rsidRPr="00C62BC1">
        <w:rPr>
          <w:i/>
          <w:lang w:val="vi-VN"/>
        </w:rPr>
        <w:t xml:space="preserve"> </w:t>
      </w:r>
      <w:r w:rsidRPr="00C62BC1">
        <w:rPr>
          <w:i/>
        </w:rPr>
        <w:t>phương</w:t>
      </w:r>
      <w:r w:rsidRPr="00C62BC1">
        <w:rPr>
          <w:lang w:val="pl-PL"/>
        </w:rPr>
        <w:t>. Một số địa phương có chỉ số IIP đạt mức tăng khá nhờ ngành công nghiệp chế biến, chế tạo; ngành sản xuất và phân phối điện tăng cao</w:t>
      </w:r>
      <w:r w:rsidRPr="00C62BC1">
        <w:rPr>
          <w:rFonts w:eastAsia="DengXian Light"/>
          <w:vertAlign w:val="superscript"/>
          <w:lang w:val="pl-PL"/>
        </w:rPr>
        <w:footnoteReference w:id="10"/>
      </w:r>
      <w:r w:rsidRPr="00C62BC1">
        <w:rPr>
          <w:lang w:val="pl-PL"/>
        </w:rPr>
        <w:t>. Ở chiều ngược lại, một số địa phương có chỉ số IIP tăng</w:t>
      </w:r>
      <w:r w:rsidRPr="00C62BC1">
        <w:rPr>
          <w:lang w:val="vi-VN"/>
        </w:rPr>
        <w:t xml:space="preserve"> thấp</w:t>
      </w:r>
      <w:r w:rsidRPr="00C62BC1">
        <w:rPr>
          <w:lang w:val="pl-PL"/>
        </w:rPr>
        <w:t xml:space="preserve"> do ngành công nghiệp chế biến, chế tạo; ngành khai khoáng và ngành sản xuất, phân phối điện tăng thấp hoặc giảm</w:t>
      </w:r>
      <w:r w:rsidRPr="00C62BC1">
        <w:rPr>
          <w:rFonts w:eastAsia="DengXian Light"/>
          <w:vertAlign w:val="superscript"/>
          <w:lang w:val="pl-PL"/>
        </w:rPr>
        <w:footnoteReference w:id="11"/>
      </w:r>
      <w:r w:rsidRPr="00C62BC1">
        <w:rPr>
          <w:lang w:val="pl-PL"/>
        </w:rPr>
        <w:t xml:space="preserve">.  </w:t>
      </w:r>
    </w:p>
    <w:p w14:paraId="3B59C8B3" w14:textId="77777777" w:rsidR="00EF7A8C" w:rsidRPr="00C62BC1" w:rsidRDefault="00EF7A8C" w:rsidP="00EF7A8C">
      <w:pPr>
        <w:shd w:val="clear" w:color="auto" w:fill="FFFFFF"/>
        <w:jc w:val="center"/>
        <w:rPr>
          <w:rFonts w:ascii="Arial" w:hAnsi="Arial" w:cs="Arial"/>
          <w:b/>
          <w:bCs/>
          <w:sz w:val="24"/>
          <w:szCs w:val="24"/>
          <w:lang w:val="pl-PL"/>
        </w:rPr>
      </w:pPr>
      <w:r w:rsidRPr="00C62BC1">
        <w:rPr>
          <w:rFonts w:ascii="Arial" w:hAnsi="Arial" w:cs="Arial"/>
          <w:b/>
          <w:bCs/>
          <w:sz w:val="24"/>
          <w:szCs w:val="24"/>
          <w:lang w:val="pl-PL"/>
        </w:rPr>
        <w:lastRenderedPageBreak/>
        <w:t>Hình 4. Tốc độ tăng, giảm IIP mười một</w:t>
      </w:r>
      <w:r w:rsidRPr="00C62BC1">
        <w:rPr>
          <w:rFonts w:ascii="Arial" w:hAnsi="Arial" w:cs="Arial"/>
          <w:b/>
          <w:bCs/>
          <w:sz w:val="24"/>
          <w:szCs w:val="24"/>
          <w:lang w:val="vi-VN"/>
        </w:rPr>
        <w:t xml:space="preserve"> tháng </w:t>
      </w:r>
      <w:r w:rsidRPr="00C62BC1">
        <w:rPr>
          <w:rFonts w:ascii="Arial" w:hAnsi="Arial" w:cs="Arial"/>
          <w:b/>
          <w:bCs/>
          <w:sz w:val="24"/>
          <w:szCs w:val="24"/>
          <w:lang w:val="pl-PL"/>
        </w:rPr>
        <w:t>năm 2025</w:t>
      </w:r>
    </w:p>
    <w:p w14:paraId="7E7543A1" w14:textId="77777777" w:rsidR="00EF7A8C" w:rsidRPr="00C62BC1" w:rsidRDefault="00EF7A8C" w:rsidP="00EF7A8C">
      <w:pPr>
        <w:shd w:val="clear" w:color="auto" w:fill="FFFFFF"/>
        <w:jc w:val="center"/>
        <w:rPr>
          <w:rFonts w:ascii="Arial" w:hAnsi="Arial" w:cs="Arial"/>
          <w:b/>
          <w:bCs/>
          <w:sz w:val="24"/>
          <w:szCs w:val="24"/>
          <w:lang w:val="pl-PL"/>
        </w:rPr>
      </w:pPr>
      <w:r w:rsidRPr="00C62BC1">
        <w:rPr>
          <w:rFonts w:ascii="Arial" w:hAnsi="Arial" w:cs="Arial"/>
          <w:b/>
          <w:bCs/>
          <w:sz w:val="24"/>
          <w:szCs w:val="24"/>
          <w:lang w:val="pl-PL"/>
        </w:rPr>
        <w:t>so với cùng kỳ năm trước</w:t>
      </w:r>
      <w:r w:rsidRPr="00C62BC1">
        <w:rPr>
          <w:rFonts w:ascii="Arial" w:hAnsi="Arial" w:cs="Arial"/>
          <w:b/>
          <w:bCs/>
          <w:sz w:val="24"/>
          <w:szCs w:val="24"/>
          <w:lang w:val="vi-VN"/>
        </w:rPr>
        <w:t xml:space="preserve"> </w:t>
      </w:r>
      <w:r w:rsidRPr="00C62BC1">
        <w:rPr>
          <w:rFonts w:ascii="Arial" w:hAnsi="Arial" w:cs="Arial"/>
          <w:b/>
          <w:bCs/>
          <w:sz w:val="24"/>
          <w:szCs w:val="24"/>
          <w:lang w:val="pl-PL"/>
        </w:rPr>
        <w:t xml:space="preserve">của một số </w:t>
      </w:r>
      <w:r w:rsidRPr="00C62BC1">
        <w:rPr>
          <w:rFonts w:ascii="Arial" w:hAnsi="Arial" w:cs="Arial"/>
          <w:b/>
          <w:bCs/>
          <w:sz w:val="24"/>
          <w:szCs w:val="24"/>
          <w:lang w:val="vi-VN"/>
        </w:rPr>
        <w:t>địa phương</w:t>
      </w:r>
      <w:r w:rsidRPr="00C62BC1">
        <w:rPr>
          <w:rFonts w:ascii="Arial" w:hAnsi="Arial" w:cs="Arial"/>
          <w:b/>
          <w:bCs/>
          <w:sz w:val="24"/>
          <w:szCs w:val="24"/>
          <w:lang w:val="pl-PL"/>
        </w:rPr>
        <w:t xml:space="preserve"> </w:t>
      </w:r>
      <w:r w:rsidRPr="00C62BC1">
        <w:rPr>
          <w:rFonts w:ascii="Arial" w:hAnsi="Arial" w:cs="Arial"/>
          <w:b/>
          <w:bCs/>
          <w:i/>
          <w:iCs/>
          <w:sz w:val="24"/>
          <w:szCs w:val="24"/>
          <w:lang w:val="pl-PL"/>
        </w:rPr>
        <w:t>(%)</w:t>
      </w:r>
    </w:p>
    <w:p w14:paraId="73B07810" w14:textId="77777777" w:rsidR="00EF7A8C" w:rsidRPr="00C62BC1" w:rsidRDefault="00EF7A8C" w:rsidP="00EF7A8C">
      <w:pPr>
        <w:shd w:val="clear" w:color="auto" w:fill="FFFFFF"/>
        <w:jc w:val="center"/>
        <w:rPr>
          <w:rFonts w:ascii="Arial" w:hAnsi="Arial" w:cs="Arial"/>
          <w:b/>
          <w:bCs/>
          <w:sz w:val="14"/>
          <w:szCs w:val="14"/>
          <w:lang w:val="pl-PL"/>
        </w:rPr>
      </w:pPr>
    </w:p>
    <w:tbl>
      <w:tblPr>
        <w:tblStyle w:val="TableGrid"/>
        <w:tblW w:w="93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5046"/>
      </w:tblGrid>
      <w:tr w:rsidR="00951742" w:rsidRPr="00C62BC1" w14:paraId="6B3B38A8" w14:textId="77777777" w:rsidTr="00480E99">
        <w:trPr>
          <w:trHeight w:val="3400"/>
          <w:jc w:val="center"/>
        </w:trPr>
        <w:tc>
          <w:tcPr>
            <w:tcW w:w="4806" w:type="dxa"/>
            <w:hideMark/>
          </w:tcPr>
          <w:p w14:paraId="4AD1FADE" w14:textId="77777777" w:rsidR="00EF7A8C" w:rsidRPr="00C62BC1" w:rsidRDefault="00EF7A8C" w:rsidP="00480E99">
            <w:pPr>
              <w:jc w:val="center"/>
              <w:rPr>
                <w:rFonts w:ascii="Arial" w:hAnsi="Arial" w:cs="Arial"/>
                <w:b/>
                <w:bCs/>
                <w:sz w:val="18"/>
                <w:szCs w:val="18"/>
                <w:lang w:val="pl-PL"/>
              </w:rPr>
            </w:pPr>
            <w:r w:rsidRPr="00C62BC1">
              <w:rPr>
                <w:rFonts w:ascii="Arial" w:hAnsi="Arial" w:cs="Arial"/>
                <w:b/>
                <w:bCs/>
                <w:sz w:val="18"/>
                <w:szCs w:val="18"/>
                <w:lang w:val="pl-PL"/>
              </w:rPr>
              <w:t>10 địa phương có chỉ số IIP tăng cao nhất</w:t>
            </w:r>
          </w:p>
          <w:p w14:paraId="7491FD5F" w14:textId="77777777" w:rsidR="00EF7A8C" w:rsidRPr="00C62BC1" w:rsidRDefault="00EF7A8C" w:rsidP="00480E99">
            <w:pPr>
              <w:jc w:val="center"/>
              <w:rPr>
                <w:rFonts w:ascii="Arial" w:hAnsi="Arial" w:cs="Arial"/>
                <w:b/>
                <w:bCs/>
                <w:sz w:val="24"/>
                <w:szCs w:val="24"/>
                <w:lang w:val="pl-PL"/>
              </w:rPr>
            </w:pPr>
            <w:r w:rsidRPr="00C62BC1">
              <w:rPr>
                <w:noProof/>
              </w:rPr>
              <w:drawing>
                <wp:inline distT="0" distB="0" distL="0" distR="0" wp14:anchorId="59F976FF" wp14:editId="5256F91D">
                  <wp:extent cx="2914650" cy="2114550"/>
                  <wp:effectExtent l="0" t="0" r="0" b="0"/>
                  <wp:docPr id="232459551" name="Chart 232459551">
                    <a:extLst xmlns:a="http://schemas.openxmlformats.org/drawingml/2006/main">
                      <a:ext uri="{FF2B5EF4-FFF2-40B4-BE49-F238E27FC236}">
                        <a16:creationId xmlns:a16="http://schemas.microsoft.com/office/drawing/2014/main" id="{51617DA1-4B32-0C15-49D5-AFE406FAD1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4523" w:type="dxa"/>
            <w:hideMark/>
          </w:tcPr>
          <w:p w14:paraId="1FB226D7" w14:textId="77777777" w:rsidR="00EF7A8C" w:rsidRPr="00C62BC1" w:rsidRDefault="00EF7A8C" w:rsidP="00480E99">
            <w:pPr>
              <w:jc w:val="center"/>
              <w:rPr>
                <w:rFonts w:ascii="Arial" w:hAnsi="Arial" w:cs="Arial"/>
                <w:b/>
                <w:bCs/>
                <w:spacing w:val="-4"/>
                <w:sz w:val="18"/>
                <w:szCs w:val="18"/>
              </w:rPr>
            </w:pPr>
            <w:r w:rsidRPr="00C62BC1">
              <w:rPr>
                <w:rFonts w:ascii="Arial" w:hAnsi="Arial" w:cs="Arial"/>
                <w:b/>
                <w:bCs/>
                <w:spacing w:val="-4"/>
                <w:sz w:val="18"/>
                <w:szCs w:val="18"/>
              </w:rPr>
              <w:t xml:space="preserve">10 địa phương có chỉ số IIP </w:t>
            </w:r>
            <w:r w:rsidRPr="00C62BC1">
              <w:rPr>
                <w:rFonts w:ascii="Arial" w:hAnsi="Arial" w:cs="Arial"/>
                <w:b/>
                <w:bCs/>
                <w:spacing w:val="-4"/>
                <w:sz w:val="18"/>
                <w:szCs w:val="18"/>
                <w:lang w:val="pl-PL"/>
              </w:rPr>
              <w:t>tăng thấp nhất</w:t>
            </w:r>
          </w:p>
          <w:p w14:paraId="1088CD5E" w14:textId="77777777" w:rsidR="00EF7A8C" w:rsidRPr="00C62BC1" w:rsidRDefault="00EF7A8C" w:rsidP="00480E99">
            <w:pPr>
              <w:jc w:val="center"/>
              <w:rPr>
                <w:rFonts w:ascii="Arial" w:hAnsi="Arial" w:cs="Arial"/>
                <w:b/>
                <w:bCs/>
                <w:sz w:val="24"/>
                <w:szCs w:val="24"/>
                <w:lang w:val="pl-PL"/>
              </w:rPr>
            </w:pPr>
            <w:r w:rsidRPr="00C62BC1">
              <w:rPr>
                <w:noProof/>
              </w:rPr>
              <w:drawing>
                <wp:inline distT="0" distB="0" distL="0" distR="0" wp14:anchorId="6D9FBDA0" wp14:editId="243A9924">
                  <wp:extent cx="3067050" cy="2238375"/>
                  <wp:effectExtent l="0" t="0" r="0" b="9525"/>
                  <wp:docPr id="2" name="Chart 2">
                    <a:extLst xmlns:a="http://schemas.openxmlformats.org/drawingml/2006/main">
                      <a:ext uri="{FF2B5EF4-FFF2-40B4-BE49-F238E27FC236}">
                        <a16:creationId xmlns:a16="http://schemas.microsoft.com/office/drawing/2014/main" id="{AA847784-4009-6DC7-9F59-C2B3EC333B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14:paraId="024F008C" w14:textId="10F6F786" w:rsidR="00EF7A8C" w:rsidRPr="00C62BC1" w:rsidRDefault="00EF7A8C" w:rsidP="00C62BC1">
      <w:pPr>
        <w:shd w:val="clear" w:color="auto" w:fill="FFFFFF"/>
        <w:spacing w:after="120" w:line="259" w:lineRule="auto"/>
        <w:ind w:firstLine="720"/>
        <w:jc w:val="both"/>
        <w:rPr>
          <w:spacing w:val="-4"/>
          <w:lang w:val="vi-VN"/>
        </w:rPr>
      </w:pPr>
      <w:r w:rsidRPr="00C62BC1">
        <w:rPr>
          <w:i/>
          <w:spacing w:val="-4"/>
          <w:lang w:val="pl-PL"/>
        </w:rPr>
        <w:t>Một số sản phẩm công nghiệp chủ lực</w:t>
      </w:r>
      <w:r w:rsidRPr="00C62BC1">
        <w:rPr>
          <w:spacing w:val="-4"/>
          <w:lang w:val="pl-PL"/>
        </w:rPr>
        <w:t xml:space="preserve"> trong mười một</w:t>
      </w:r>
      <w:r w:rsidRPr="00C62BC1">
        <w:rPr>
          <w:spacing w:val="-4"/>
          <w:lang w:val="vi-VN"/>
        </w:rPr>
        <w:t xml:space="preserve"> tháng năm </w:t>
      </w:r>
      <w:r w:rsidRPr="00C62BC1">
        <w:rPr>
          <w:spacing w:val="-4"/>
          <w:lang w:val="pl-PL"/>
        </w:rPr>
        <w:t>2025 tăng so với cùng kỳ năm trước: Ô tô tăng 37,4%; tivi tăng 19</w:t>
      </w:r>
      <w:r w:rsidRPr="00C62BC1">
        <w:rPr>
          <w:spacing w:val="-4"/>
          <w:lang w:val="vi-VN"/>
        </w:rPr>
        <w:t>,</w:t>
      </w:r>
      <w:r w:rsidRPr="00C62BC1">
        <w:rPr>
          <w:spacing w:val="-4"/>
        </w:rPr>
        <w:t>0</w:t>
      </w:r>
      <w:r w:rsidRPr="00C62BC1">
        <w:rPr>
          <w:spacing w:val="-4"/>
          <w:lang w:val="pl-PL"/>
        </w:rPr>
        <w:t>%; thép</w:t>
      </w:r>
      <w:r w:rsidRPr="00C62BC1">
        <w:rPr>
          <w:spacing w:val="-4"/>
          <w:lang w:val="vi-VN"/>
        </w:rPr>
        <w:t xml:space="preserve"> cán </w:t>
      </w:r>
      <w:r w:rsidRPr="00C62BC1">
        <w:rPr>
          <w:spacing w:val="-4"/>
          <w:lang w:val="pl-PL"/>
        </w:rPr>
        <w:t>tăng 18</w:t>
      </w:r>
      <w:r w:rsidRPr="00C62BC1">
        <w:rPr>
          <w:spacing w:val="-4"/>
          <w:lang w:val="vi-VN"/>
        </w:rPr>
        <w:t>,</w:t>
      </w:r>
      <w:r w:rsidRPr="00C62BC1">
        <w:rPr>
          <w:spacing w:val="-4"/>
        </w:rPr>
        <w:t>5</w:t>
      </w:r>
      <w:r w:rsidRPr="00C62BC1">
        <w:rPr>
          <w:spacing w:val="-4"/>
          <w:lang w:val="pl-PL"/>
        </w:rPr>
        <w:t>%;</w:t>
      </w:r>
      <w:r w:rsidRPr="00C62BC1">
        <w:rPr>
          <w:spacing w:val="-4"/>
          <w:lang w:val="vi-VN"/>
        </w:rPr>
        <w:t xml:space="preserve"> thức ăn cho thủy sản </w:t>
      </w:r>
      <w:r w:rsidRPr="00C62BC1">
        <w:rPr>
          <w:spacing w:val="-4"/>
          <w:lang w:val="pl-PL"/>
        </w:rPr>
        <w:t>tăng 14,8%</w:t>
      </w:r>
      <w:r w:rsidRPr="00C62BC1">
        <w:rPr>
          <w:spacing w:val="-4"/>
          <w:lang w:val="vi-VN"/>
        </w:rPr>
        <w:t xml:space="preserve">; </w:t>
      </w:r>
      <w:r w:rsidRPr="00C62BC1">
        <w:rPr>
          <w:spacing w:val="-4"/>
          <w:lang w:val="pl-PL"/>
        </w:rPr>
        <w:t>quần áo mặc thường tăng 14,2%; xi măng tăng 14,1%; giày, dép da tăng 12</w:t>
      </w:r>
      <w:r w:rsidRPr="00C62BC1">
        <w:rPr>
          <w:spacing w:val="-4"/>
          <w:lang w:val="vi-VN"/>
        </w:rPr>
        <w:t>,8</w:t>
      </w:r>
      <w:r w:rsidRPr="00C62BC1">
        <w:rPr>
          <w:spacing w:val="-4"/>
          <w:lang w:val="pl-PL"/>
        </w:rPr>
        <w:t xml:space="preserve">%; </w:t>
      </w:r>
      <w:r w:rsidRPr="00C62BC1">
        <w:rPr>
          <w:spacing w:val="-4"/>
          <w:lang w:val="vi-VN"/>
        </w:rPr>
        <w:t>đường kính</w:t>
      </w:r>
      <w:r w:rsidRPr="00C62BC1">
        <w:rPr>
          <w:spacing w:val="-4"/>
          <w:lang w:val="pl-PL"/>
        </w:rPr>
        <w:t xml:space="preserve"> tăng</w:t>
      </w:r>
      <w:r w:rsidRPr="00C62BC1">
        <w:rPr>
          <w:spacing w:val="-4"/>
          <w:lang w:val="vi-VN"/>
        </w:rPr>
        <w:t xml:space="preserve"> 12,</w:t>
      </w:r>
      <w:r w:rsidRPr="00C62BC1">
        <w:rPr>
          <w:spacing w:val="-4"/>
        </w:rPr>
        <w:t>3</w:t>
      </w:r>
      <w:r w:rsidRPr="00C62BC1">
        <w:rPr>
          <w:spacing w:val="-4"/>
          <w:lang w:val="vi-VN"/>
        </w:rPr>
        <w:t>%;</w:t>
      </w:r>
      <w:r w:rsidRPr="00C62BC1">
        <w:rPr>
          <w:spacing w:val="-4"/>
          <w:lang w:val="pl-PL"/>
        </w:rPr>
        <w:t xml:space="preserve"> phân hỗn hợp NPK tăng 11,9%; sơn hóa học</w:t>
      </w:r>
      <w:r w:rsidRPr="00C62BC1">
        <w:rPr>
          <w:spacing w:val="-4"/>
          <w:lang w:val="vi-VN"/>
        </w:rPr>
        <w:t xml:space="preserve"> </w:t>
      </w:r>
      <w:r w:rsidRPr="00C62BC1">
        <w:rPr>
          <w:spacing w:val="-4"/>
          <w:lang w:val="pl-PL"/>
        </w:rPr>
        <w:t>tăng 10</w:t>
      </w:r>
      <w:r w:rsidRPr="00C62BC1">
        <w:rPr>
          <w:spacing w:val="-4"/>
          <w:lang w:val="vi-VN"/>
        </w:rPr>
        <w:t>,</w:t>
      </w:r>
      <w:r w:rsidRPr="00C62BC1">
        <w:rPr>
          <w:spacing w:val="-4"/>
        </w:rPr>
        <w:t>9</w:t>
      </w:r>
      <w:r w:rsidRPr="00C62BC1">
        <w:rPr>
          <w:spacing w:val="-4"/>
          <w:lang w:val="pl-PL"/>
        </w:rPr>
        <w:t>%</w:t>
      </w:r>
      <w:r w:rsidRPr="00C62BC1">
        <w:rPr>
          <w:spacing w:val="-4"/>
          <w:lang w:val="vi-VN"/>
        </w:rPr>
        <w:t xml:space="preserve">. </w:t>
      </w:r>
      <w:r w:rsidRPr="00C62BC1">
        <w:rPr>
          <w:spacing w:val="-4"/>
          <w:lang w:val="pl-PL"/>
        </w:rPr>
        <w:t>Ở chiều ngược lại, một số sản phẩm giảm so với cùng kỳ năm trước: Khí đốt thiên nhiên dạng khí giảm 5,9%; vải dệt từ sợi nhân tạo giảm 1,8%.</w:t>
      </w:r>
    </w:p>
    <w:p w14:paraId="2BD4AB57" w14:textId="77777777" w:rsidR="00EF7A8C" w:rsidRPr="00C62BC1" w:rsidRDefault="00EF7A8C" w:rsidP="00C62BC1">
      <w:pPr>
        <w:spacing w:after="120" w:line="259" w:lineRule="auto"/>
        <w:ind w:firstLine="720"/>
        <w:jc w:val="both"/>
        <w:rPr>
          <w:b/>
          <w:bCs/>
          <w:lang w:val="pl-PL"/>
        </w:rPr>
      </w:pPr>
      <w:r w:rsidRPr="00C62BC1">
        <w:rPr>
          <w:i/>
          <w:lang w:val="pl-PL"/>
        </w:rPr>
        <w:t>Số lao động đang làm việc trong các doanh nghiệp công nghiệp tại thời điểm 01/11/2025</w:t>
      </w:r>
      <w:r w:rsidRPr="00C62BC1">
        <w:rPr>
          <w:lang w:val="pl-PL"/>
        </w:rPr>
        <w:t xml:space="preserve"> tăng 1,0% so với cùng thời điểm tháng trước và tăng</w:t>
      </w:r>
      <w:r w:rsidRPr="00C62BC1">
        <w:rPr>
          <w:lang w:val="vi-VN"/>
        </w:rPr>
        <w:t xml:space="preserve"> </w:t>
      </w:r>
      <w:r w:rsidRPr="00C62BC1">
        <w:rPr>
          <w:lang w:val="pl-PL"/>
        </w:rPr>
        <w:t>3</w:t>
      </w:r>
      <w:r w:rsidRPr="00C62BC1">
        <w:rPr>
          <w:lang w:val="vi-VN"/>
        </w:rPr>
        <w:t>,7</w:t>
      </w:r>
      <w:r w:rsidRPr="00C62BC1">
        <w:rPr>
          <w:lang w:val="pl-PL"/>
        </w:rPr>
        <w:t>% so với cùng thời điểm năm trước</w:t>
      </w:r>
      <w:r w:rsidRPr="00C62BC1">
        <w:rPr>
          <w:lang w:val="vi-VN"/>
        </w:rPr>
        <w:t>.</w:t>
      </w:r>
      <w:r w:rsidRPr="00C62BC1">
        <w:rPr>
          <w:lang w:val="pl-PL"/>
        </w:rPr>
        <w:t xml:space="preserve"> </w:t>
      </w:r>
      <w:r w:rsidRPr="00C62BC1">
        <w:rPr>
          <w:lang w:val="vi-VN"/>
        </w:rPr>
        <w:t>T</w:t>
      </w:r>
      <w:r w:rsidRPr="00C62BC1">
        <w:rPr>
          <w:lang w:val="pl-PL"/>
        </w:rPr>
        <w:t>rong đó</w:t>
      </w:r>
      <w:r w:rsidRPr="00C62BC1">
        <w:rPr>
          <w:lang w:val="vi-VN"/>
        </w:rPr>
        <w:t>,</w:t>
      </w:r>
      <w:r w:rsidRPr="00C62BC1">
        <w:rPr>
          <w:lang w:val="pl-PL"/>
        </w:rPr>
        <w:t xml:space="preserve"> tỷ lệ tương ứng của doanh nghiệp Nhà nước tăng 0,1% so với cùng thời điểm tháng trước và tăng</w:t>
      </w:r>
      <w:r w:rsidRPr="00C62BC1">
        <w:rPr>
          <w:lang w:val="vi-VN"/>
        </w:rPr>
        <w:t xml:space="preserve"> </w:t>
      </w:r>
      <w:r w:rsidRPr="00C62BC1">
        <w:rPr>
          <w:lang w:val="pl-PL"/>
        </w:rPr>
        <w:t>1,5</w:t>
      </w:r>
      <w:r w:rsidRPr="00C62BC1">
        <w:rPr>
          <w:lang w:val="vi-VN"/>
        </w:rPr>
        <w:t>% so với cùng thời điểm năm trước</w:t>
      </w:r>
      <w:r w:rsidRPr="00C62BC1">
        <w:rPr>
          <w:lang w:val="pl-PL"/>
        </w:rPr>
        <w:t>; doanh nghiệp có vốn đầu tư nước ngoài tăng 1,3% và tăng 4</w:t>
      </w:r>
      <w:r w:rsidRPr="00C62BC1">
        <w:rPr>
          <w:lang w:val="vi-VN"/>
        </w:rPr>
        <w:t>,</w:t>
      </w:r>
      <w:r w:rsidRPr="00C62BC1">
        <w:rPr>
          <w:lang w:val="pl-PL"/>
        </w:rPr>
        <w:t>5%; doanh nghiệp ngoài Nhà nước tăng 0,7% và tăng 1,9%. Theo ngành hoạt động, số lao động đang làm việc tron</w:t>
      </w:r>
      <w:r w:rsidRPr="00C62BC1">
        <w:rPr>
          <w:lang w:val="vi-VN"/>
        </w:rPr>
        <w:t>g</w:t>
      </w:r>
      <w:r w:rsidRPr="00C62BC1">
        <w:rPr>
          <w:lang w:val="pl-PL"/>
        </w:rPr>
        <w:t xml:space="preserve"> các doanh nghiệp ngành khai khoáng không</w:t>
      </w:r>
      <w:r w:rsidRPr="00C62BC1">
        <w:rPr>
          <w:lang w:val="vi-VN"/>
        </w:rPr>
        <w:t xml:space="preserve"> đổi </w:t>
      </w:r>
      <w:r w:rsidRPr="00C62BC1">
        <w:rPr>
          <w:lang w:val="pl-PL"/>
        </w:rPr>
        <w:t>so với cùng thời điểm tháng trước và</w:t>
      </w:r>
      <w:r w:rsidRPr="00C62BC1">
        <w:rPr>
          <w:lang w:val="vi-VN"/>
        </w:rPr>
        <w:t xml:space="preserve"> tăng 1,6</w:t>
      </w:r>
      <w:r w:rsidRPr="00C62BC1">
        <w:rPr>
          <w:lang w:val="pl-PL"/>
        </w:rPr>
        <w:t>% so với cùng thời điểm năm trước; số lao động trong ngành chế biến, chế tạo tăng 1,1% và tăng 3</w:t>
      </w:r>
      <w:r w:rsidRPr="00C62BC1">
        <w:rPr>
          <w:lang w:val="vi-VN"/>
        </w:rPr>
        <w:t>,</w:t>
      </w:r>
      <w:r w:rsidRPr="00C62BC1">
        <w:rPr>
          <w:lang w:val="pl-PL"/>
        </w:rPr>
        <w:t>9%; ngành sản xuất và phân phối điện, khí đốt, nước nóng, hơi nước và điều hòa không khí không đổi và tăng 1,9%; ngành cung cấp nước, hoạt động quản lý và xử lý rác thải, nước thải tăng</w:t>
      </w:r>
      <w:r w:rsidRPr="00C62BC1">
        <w:rPr>
          <w:lang w:val="vi-VN"/>
        </w:rPr>
        <w:t xml:space="preserve"> 0,</w:t>
      </w:r>
      <w:r w:rsidRPr="00C62BC1">
        <w:rPr>
          <w:lang w:val="pl-PL"/>
        </w:rPr>
        <w:t>3% và tăng 1</w:t>
      </w:r>
      <w:r w:rsidRPr="00C62BC1">
        <w:rPr>
          <w:lang w:val="vi-VN"/>
        </w:rPr>
        <w:t>,</w:t>
      </w:r>
      <w:r w:rsidRPr="00C62BC1">
        <w:rPr>
          <w:lang w:val="pl-PL"/>
        </w:rPr>
        <w:t>9%.</w:t>
      </w:r>
    </w:p>
    <w:p w14:paraId="1364C6A4" w14:textId="77777777" w:rsidR="0005300F" w:rsidRPr="00C62BC1" w:rsidRDefault="0005300F" w:rsidP="00C62BC1">
      <w:pPr>
        <w:spacing w:after="120" w:line="259" w:lineRule="auto"/>
        <w:ind w:firstLine="720"/>
        <w:jc w:val="both"/>
        <w:rPr>
          <w:b/>
          <w:lang w:val="it-IT"/>
        </w:rPr>
      </w:pPr>
      <w:r w:rsidRPr="00C62BC1">
        <w:rPr>
          <w:b/>
          <w:bCs/>
          <w:lang w:val="pl-PL"/>
        </w:rPr>
        <w:t>3.</w:t>
      </w:r>
      <w:r w:rsidRPr="00C62BC1">
        <w:rPr>
          <w:b/>
          <w:bCs/>
          <w:lang w:val="it-IT"/>
        </w:rPr>
        <w:t xml:space="preserve"> </w:t>
      </w:r>
      <w:r w:rsidRPr="00C62BC1">
        <w:rPr>
          <w:b/>
          <w:lang w:val="it-IT"/>
        </w:rPr>
        <w:t>Tình hình đăng ký doanh nghiệp</w:t>
      </w:r>
    </w:p>
    <w:p w14:paraId="1C253236" w14:textId="77777777" w:rsidR="0005300F" w:rsidRPr="00C62BC1" w:rsidRDefault="0005300F" w:rsidP="00C62BC1">
      <w:pPr>
        <w:spacing w:after="120" w:line="259" w:lineRule="auto"/>
        <w:ind w:firstLine="720"/>
        <w:jc w:val="both"/>
        <w:rPr>
          <w:lang w:val="it-IT"/>
        </w:rPr>
      </w:pPr>
      <w:r w:rsidRPr="00C62BC1">
        <w:rPr>
          <w:lang w:val="it-IT"/>
        </w:rPr>
        <w:t xml:space="preserve">Trong tháng Mười Một, cả nước có 15,1 nghìn doanh nghiệp thành lập mới với số vốn đăng ký là 160,5 nghìn tỷ đồng và số lao động đăng ký 83,3 nghìn lao động, giảm 16,1% về số doanh nghiệp, giảm 6,9% về vốn đăng ký và giảm 11,0% về số lao động so với tháng Mười. So với cùng kỳ năm trước, tăng 34,9% về số doanh nghiệp, tăng 15,8% về số vốn đăng ký và giảm 7,6% về số lao động. </w:t>
      </w:r>
      <w:r w:rsidRPr="00C62BC1">
        <w:rPr>
          <w:lang w:val="it-IT"/>
        </w:rPr>
        <w:lastRenderedPageBreak/>
        <w:t>Vốn đăng ký bình quân một doanh nghiệp thành lập mới trong tháng Mười Một đạt 10,7 tỷ đồng, tăng 10,9% so với tháng trước và giảm 14,1% so với cùng kỳ năm trước. Bên cạnh đó, cả nước còn có 9,7 nghìn doanh nghiệp quay trở lại hoạt động, giảm 16,4% so với tháng trước và tăng 25,6% so với cùng kỳ năm 2024.</w:t>
      </w:r>
    </w:p>
    <w:p w14:paraId="5A03F0AC" w14:textId="77777777" w:rsidR="0005300F" w:rsidRPr="00C62BC1" w:rsidRDefault="0005300F" w:rsidP="00C62BC1">
      <w:pPr>
        <w:spacing w:after="120" w:line="259" w:lineRule="auto"/>
        <w:ind w:firstLine="720"/>
        <w:jc w:val="both"/>
        <w:rPr>
          <w:lang w:val="it-IT"/>
        </w:rPr>
      </w:pPr>
      <w:r w:rsidRPr="00C62BC1">
        <w:rPr>
          <w:lang w:val="it-IT"/>
        </w:rPr>
        <w:t>Trong tháng Mười Một, có 4.859 doanh nghiệp đăng ký tạm ngừng kinh doanh có thời hạn, giảm 19,9% so với tháng trước và tăng 14,5% so với cùng kỳ năm 2024; 6.668 doanh nghiệp ngừng hoạt động chờ làm thủ tục giải thể, giảm 1,5% và giảm 11,7%; có 4.022 doanh nghiệp hoàn tất thủ tục giải thể, giảm 11,3% và tăng 110,6%.</w:t>
      </w:r>
    </w:p>
    <w:p w14:paraId="6434D305" w14:textId="77777777" w:rsidR="0005300F" w:rsidRPr="00C62BC1" w:rsidRDefault="0005300F" w:rsidP="00C62BC1">
      <w:pPr>
        <w:spacing w:after="120" w:line="259" w:lineRule="auto"/>
        <w:ind w:firstLine="720"/>
        <w:jc w:val="both"/>
        <w:rPr>
          <w:spacing w:val="-4"/>
          <w:lang w:val="it-IT"/>
        </w:rPr>
      </w:pPr>
      <w:r w:rsidRPr="00C62BC1">
        <w:rPr>
          <w:spacing w:val="-4"/>
          <w:lang w:val="it-IT"/>
        </w:rPr>
        <w:t>Tính chung mười một tháng năm 2025, cả nước có gần 178,0 nghìn doanh nghiệp đăng ký thành lập mới với tổng số vốn đăng ký là 1.753,2 nghìn tỷ đồng và tổng số lao động đăng ký là 1.050,8 nghìn lao động, tăng 20,9% về số doanh nghiệp, tăng 20,9% về vốn đăng ký và tăng 16,0% về số lao động so với cùng kỳ năm trước. Vốn đăng ký bình quân một doanh nghiệp thành lập mới trong mười một tháng năm 2025 đạt 9,8 tỷ đồng, tương đương so với cùng kỳ năm 2024. Tổng số vốn đăng ký bổ sung vào nền kinh tế trong mười một tháng năm 2025 là 5,6 triệu tỷ đồng, tăng 104,3% so với cùng kỳ năm 2024</w:t>
      </w:r>
      <w:r w:rsidRPr="00C62BC1">
        <w:rPr>
          <w:rStyle w:val="FootnoteReference"/>
          <w:spacing w:val="-4"/>
          <w:lang w:val="it-IT"/>
        </w:rPr>
        <w:footnoteReference w:id="12"/>
      </w:r>
      <w:r w:rsidRPr="00C62BC1">
        <w:rPr>
          <w:spacing w:val="-4"/>
          <w:lang w:val="it-IT"/>
        </w:rPr>
        <w:t>. Bên cạnh đó, cả nước có 97,6 nghìn doanh nghiệp quay trở lại hoạt động (tăng 36,9% so với cùng kỳ năm 2024), nâng tổng số doanh nghiệp thành lập mới và quay trở lại hoạt động trong mười một tháng năm 2025 lên 275,6 nghìn doanh nghiệp, tăng 26,1% so với cùng kỳ năm 2024. Bình quân một tháng có 25,1 nghìn doanh nghiệp thành lập mới và quay trở lại hoạt động.</w:t>
      </w:r>
    </w:p>
    <w:p w14:paraId="59904D2B" w14:textId="77777777" w:rsidR="0005300F" w:rsidRPr="00C62BC1" w:rsidRDefault="0005300F" w:rsidP="00C62BC1">
      <w:pPr>
        <w:spacing w:after="120" w:line="259" w:lineRule="auto"/>
        <w:ind w:firstLine="720"/>
        <w:jc w:val="both"/>
        <w:rPr>
          <w:lang w:val="it-IT"/>
        </w:rPr>
      </w:pPr>
      <w:r w:rsidRPr="00C62BC1">
        <w:rPr>
          <w:lang w:val="it-IT"/>
        </w:rPr>
        <w:t>Theo khu vực kinh tế, mười một tháng năm 2025 có 1.682 doanh nghiệp thành lập mới thuộc khu vực nông, lâm nghiệp và thủy sản, tăng 12,5% so với cùng kỳ năm trước; 40,1 nghìn doanh nghiệp thuộc khu vực công nghiệp và xây dựng, tăng 16,6%; 136,2 nghìn doanh nghiệp thuộc khu vực dịch vụ, tăng 22,3%.</w:t>
      </w:r>
    </w:p>
    <w:p w14:paraId="0FED491C" w14:textId="77777777" w:rsidR="0005300F" w:rsidRPr="00C62BC1" w:rsidRDefault="0005300F" w:rsidP="0005300F">
      <w:pPr>
        <w:spacing w:after="120" w:line="264" w:lineRule="auto"/>
        <w:jc w:val="center"/>
        <w:rPr>
          <w:lang w:val="it-IT"/>
        </w:rPr>
      </w:pPr>
      <w:r w:rsidRPr="00C62BC1">
        <w:rPr>
          <w:rFonts w:ascii="Arial" w:hAnsi="Arial" w:cs="Arial"/>
          <w:b/>
          <w:sz w:val="24"/>
          <w:szCs w:val="24"/>
          <w:lang w:val="it-IT"/>
        </w:rPr>
        <w:t>Hình 5. Tình hình đăng ký doanh nghiệp</w:t>
      </w:r>
      <w:r w:rsidRPr="00C62BC1">
        <w:rPr>
          <w:lang w:val="it-IT"/>
        </w:rPr>
        <w:t xml:space="preserve"> </w:t>
      </w:r>
    </w:p>
    <w:p w14:paraId="1D1A6C86" w14:textId="77777777" w:rsidR="0005300F" w:rsidRPr="00C62BC1" w:rsidRDefault="0005300F" w:rsidP="0005300F">
      <w:pPr>
        <w:spacing w:after="120" w:line="264" w:lineRule="auto"/>
        <w:jc w:val="center"/>
        <w:rPr>
          <w:rFonts w:ascii="Arial" w:hAnsi="Arial" w:cs="Arial"/>
          <w:b/>
          <w:sz w:val="24"/>
          <w:szCs w:val="24"/>
          <w:lang w:val="it-IT"/>
        </w:rPr>
      </w:pPr>
      <w:r w:rsidRPr="00C62BC1">
        <w:rPr>
          <w:rFonts w:ascii="Arial" w:hAnsi="Arial" w:cs="Arial"/>
          <w:b/>
          <w:noProof/>
          <w:sz w:val="24"/>
          <w:szCs w:val="24"/>
        </w:rPr>
        <w:drawing>
          <wp:inline distT="0" distB="0" distL="0" distR="0" wp14:anchorId="0EC91C9B" wp14:editId="273392EA">
            <wp:extent cx="4550267" cy="2184400"/>
            <wp:effectExtent l="0" t="0" r="317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N.2_Page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64477" cy="2191221"/>
                    </a:xfrm>
                    <a:prstGeom prst="rect">
                      <a:avLst/>
                    </a:prstGeom>
                  </pic:spPr>
                </pic:pic>
              </a:graphicData>
            </a:graphic>
          </wp:inline>
        </w:drawing>
      </w:r>
    </w:p>
    <w:p w14:paraId="19C210BF" w14:textId="77777777" w:rsidR="0005300F" w:rsidRPr="00C62BC1" w:rsidRDefault="0005300F" w:rsidP="00C62BC1">
      <w:pPr>
        <w:spacing w:after="120" w:line="264" w:lineRule="auto"/>
        <w:ind w:firstLine="720"/>
        <w:jc w:val="both"/>
        <w:rPr>
          <w:lang w:val="it-IT"/>
        </w:rPr>
      </w:pPr>
      <w:r w:rsidRPr="00C62BC1">
        <w:rPr>
          <w:lang w:val="it-IT"/>
        </w:rPr>
        <w:lastRenderedPageBreak/>
        <w:t>Tính chung mười một tháng năm 2025, số doanh nghiệp tạm ngừng kinh doanh có thời hạn là 110,1 nghìn doanh nghiệp, tăng 14,4% so với cùng kỳ năm trước; 64,5 nghìn doanh nghiệp ngừng hoạt động chờ làm thủ tục giải thể, tăng 11,7%; 30,8 nghìn doanh nghiệp hoàn tất thủ tục giải thể, tăng 60,1%. Bình quân một tháng có 18,7 nghìn doanh nghiệp rút lui khỏi thị trường.</w:t>
      </w:r>
    </w:p>
    <w:p w14:paraId="45092E7A" w14:textId="77777777" w:rsidR="0005300F" w:rsidRPr="00C62BC1" w:rsidRDefault="0005300F" w:rsidP="0005300F">
      <w:pPr>
        <w:tabs>
          <w:tab w:val="left" w:pos="6810"/>
        </w:tabs>
        <w:spacing w:after="120" w:line="264" w:lineRule="auto"/>
        <w:jc w:val="center"/>
        <w:rPr>
          <w:rFonts w:ascii="Arial" w:hAnsi="Arial" w:cs="Arial"/>
          <w:b/>
          <w:sz w:val="24"/>
          <w:szCs w:val="20"/>
          <w:lang w:val="it-IT"/>
        </w:rPr>
      </w:pPr>
      <w:r w:rsidRPr="00C62BC1">
        <w:rPr>
          <w:rFonts w:ascii="Arial" w:hAnsi="Arial" w:cs="Arial"/>
          <w:b/>
          <w:sz w:val="24"/>
          <w:szCs w:val="20"/>
          <w:lang w:val="it-IT"/>
        </w:rPr>
        <w:t>Biểu 2. Doanh nghiệp thành lập mới và giải thể mười một tháng năm 2025                                   phân theo một số lĩnh vực hoạt động</w:t>
      </w:r>
    </w:p>
    <w:p w14:paraId="0C48D5EA" w14:textId="77777777" w:rsidR="0005300F" w:rsidRPr="00C62BC1" w:rsidRDefault="0005300F" w:rsidP="0005300F">
      <w:pPr>
        <w:tabs>
          <w:tab w:val="left" w:pos="6810"/>
        </w:tabs>
        <w:spacing w:after="120" w:line="264" w:lineRule="auto"/>
        <w:ind w:firstLine="567"/>
        <w:jc w:val="center"/>
        <w:rPr>
          <w:rFonts w:ascii="Arial" w:hAnsi="Arial" w:cs="Arial"/>
          <w:b/>
          <w:sz w:val="4"/>
          <w:szCs w:val="20"/>
          <w:lang w:val="it-IT"/>
        </w:rPr>
      </w:pPr>
    </w:p>
    <w:tbl>
      <w:tblPr>
        <w:tblW w:w="9297" w:type="dxa"/>
        <w:jc w:val="center"/>
        <w:tblLook w:val="04A0" w:firstRow="1" w:lastRow="0" w:firstColumn="1" w:lastColumn="0" w:noHBand="0" w:noVBand="1"/>
      </w:tblPr>
      <w:tblGrid>
        <w:gridCol w:w="3996"/>
        <w:gridCol w:w="1585"/>
        <w:gridCol w:w="1194"/>
        <w:gridCol w:w="1525"/>
        <w:gridCol w:w="997"/>
      </w:tblGrid>
      <w:tr w:rsidR="00951742" w:rsidRPr="00C62BC1" w14:paraId="218C0A1A" w14:textId="77777777" w:rsidTr="00E15D7B">
        <w:trPr>
          <w:cantSplit/>
          <w:trHeight w:val="595"/>
          <w:jc w:val="center"/>
        </w:trPr>
        <w:tc>
          <w:tcPr>
            <w:tcW w:w="3996" w:type="dxa"/>
            <w:vMerge w:val="restart"/>
            <w:tcBorders>
              <w:top w:val="single" w:sz="4" w:space="0" w:color="auto"/>
            </w:tcBorders>
            <w:noWrap/>
            <w:vAlign w:val="bottom"/>
            <w:hideMark/>
          </w:tcPr>
          <w:p w14:paraId="61433272" w14:textId="77777777" w:rsidR="0005300F" w:rsidRPr="00C62BC1" w:rsidRDefault="0005300F" w:rsidP="00E15D7B">
            <w:pPr>
              <w:jc w:val="center"/>
              <w:rPr>
                <w:rFonts w:ascii="Arial" w:hAnsi="Arial" w:cs="Arial"/>
                <w:sz w:val="20"/>
                <w:szCs w:val="20"/>
                <w:lang w:val="it-IT"/>
              </w:rPr>
            </w:pPr>
            <w:r w:rsidRPr="00C62BC1">
              <w:rPr>
                <w:rFonts w:ascii="Arial" w:hAnsi="Arial" w:cs="Arial"/>
                <w:sz w:val="20"/>
                <w:szCs w:val="20"/>
                <w:lang w:val="it-IT"/>
              </w:rPr>
              <w:t> </w:t>
            </w:r>
          </w:p>
        </w:tc>
        <w:tc>
          <w:tcPr>
            <w:tcW w:w="2779" w:type="dxa"/>
            <w:gridSpan w:val="2"/>
            <w:tcBorders>
              <w:top w:val="single" w:sz="4" w:space="0" w:color="auto"/>
              <w:bottom w:val="single" w:sz="4" w:space="0" w:color="auto"/>
            </w:tcBorders>
            <w:vAlign w:val="center"/>
            <w:hideMark/>
          </w:tcPr>
          <w:p w14:paraId="69F32158" w14:textId="77777777" w:rsidR="0005300F" w:rsidRPr="00C62BC1" w:rsidRDefault="0005300F" w:rsidP="00E15D7B">
            <w:pPr>
              <w:jc w:val="center"/>
              <w:rPr>
                <w:rFonts w:ascii="Arial" w:hAnsi="Arial" w:cs="Arial"/>
                <w:bCs/>
                <w:sz w:val="20"/>
                <w:szCs w:val="20"/>
                <w:lang w:val="it-IT"/>
              </w:rPr>
            </w:pPr>
            <w:r w:rsidRPr="00C62BC1">
              <w:rPr>
                <w:rFonts w:ascii="Arial" w:hAnsi="Arial" w:cs="Arial"/>
                <w:bCs/>
                <w:sz w:val="20"/>
                <w:szCs w:val="20"/>
                <w:lang w:val="it-IT"/>
              </w:rPr>
              <w:t>Số lượng doanh nghiệp (Doanh nghiệp)</w:t>
            </w:r>
          </w:p>
        </w:tc>
        <w:tc>
          <w:tcPr>
            <w:tcW w:w="2522" w:type="dxa"/>
            <w:gridSpan w:val="2"/>
            <w:tcBorders>
              <w:top w:val="single" w:sz="4" w:space="0" w:color="auto"/>
              <w:bottom w:val="single" w:sz="4" w:space="0" w:color="auto"/>
            </w:tcBorders>
            <w:vAlign w:val="center"/>
            <w:hideMark/>
          </w:tcPr>
          <w:p w14:paraId="2F531652" w14:textId="77777777" w:rsidR="0005300F" w:rsidRPr="00C62BC1" w:rsidRDefault="0005300F" w:rsidP="00E15D7B">
            <w:pPr>
              <w:jc w:val="center"/>
              <w:rPr>
                <w:rFonts w:ascii="Arial" w:hAnsi="Arial" w:cs="Arial"/>
                <w:bCs/>
                <w:sz w:val="20"/>
                <w:szCs w:val="20"/>
                <w:lang w:val="it-IT"/>
              </w:rPr>
            </w:pPr>
            <w:r w:rsidRPr="00C62BC1">
              <w:rPr>
                <w:rFonts w:ascii="Arial" w:hAnsi="Arial" w:cs="Arial"/>
                <w:bCs/>
                <w:sz w:val="20"/>
                <w:szCs w:val="20"/>
                <w:lang w:val="it-IT"/>
              </w:rPr>
              <w:t>Tốc độ tăng/giảm so với cùng kỳ năm trước (%)</w:t>
            </w:r>
          </w:p>
        </w:tc>
      </w:tr>
      <w:tr w:rsidR="00951742" w:rsidRPr="00C62BC1" w14:paraId="1B067079" w14:textId="77777777" w:rsidTr="00E15D7B">
        <w:trPr>
          <w:cantSplit/>
          <w:trHeight w:val="312"/>
          <w:jc w:val="center"/>
        </w:trPr>
        <w:tc>
          <w:tcPr>
            <w:tcW w:w="3996" w:type="dxa"/>
            <w:vMerge/>
            <w:vAlign w:val="center"/>
            <w:hideMark/>
          </w:tcPr>
          <w:p w14:paraId="146C57C5" w14:textId="77777777" w:rsidR="0005300F" w:rsidRPr="00C62BC1" w:rsidRDefault="0005300F" w:rsidP="00E15D7B">
            <w:pPr>
              <w:rPr>
                <w:rFonts w:ascii="Arial" w:hAnsi="Arial" w:cs="Arial"/>
                <w:sz w:val="20"/>
                <w:szCs w:val="20"/>
                <w:lang w:val="it-IT"/>
              </w:rPr>
            </w:pPr>
          </w:p>
        </w:tc>
        <w:tc>
          <w:tcPr>
            <w:tcW w:w="1585" w:type="dxa"/>
            <w:tcBorders>
              <w:top w:val="single" w:sz="4" w:space="0" w:color="auto"/>
              <w:bottom w:val="single" w:sz="4" w:space="0" w:color="auto"/>
            </w:tcBorders>
            <w:vAlign w:val="center"/>
            <w:hideMark/>
          </w:tcPr>
          <w:p w14:paraId="1B6FEF9E" w14:textId="77777777" w:rsidR="0005300F" w:rsidRPr="00C62BC1" w:rsidRDefault="0005300F" w:rsidP="00E15D7B">
            <w:pPr>
              <w:jc w:val="center"/>
              <w:rPr>
                <w:rFonts w:ascii="Arial" w:hAnsi="Arial" w:cs="Arial"/>
                <w:bCs/>
                <w:sz w:val="20"/>
                <w:szCs w:val="20"/>
              </w:rPr>
            </w:pPr>
            <w:r w:rsidRPr="00C62BC1">
              <w:rPr>
                <w:rFonts w:ascii="Arial" w:hAnsi="Arial" w:cs="Arial"/>
                <w:bCs/>
                <w:sz w:val="20"/>
                <w:szCs w:val="20"/>
              </w:rPr>
              <w:t>Thành lập mới</w:t>
            </w:r>
          </w:p>
        </w:tc>
        <w:tc>
          <w:tcPr>
            <w:tcW w:w="1193" w:type="dxa"/>
            <w:tcBorders>
              <w:top w:val="single" w:sz="4" w:space="0" w:color="auto"/>
              <w:bottom w:val="single" w:sz="4" w:space="0" w:color="auto"/>
            </w:tcBorders>
            <w:vAlign w:val="center"/>
            <w:hideMark/>
          </w:tcPr>
          <w:p w14:paraId="30484C14" w14:textId="77777777" w:rsidR="0005300F" w:rsidRPr="00C62BC1" w:rsidRDefault="0005300F" w:rsidP="00E15D7B">
            <w:pPr>
              <w:jc w:val="center"/>
              <w:rPr>
                <w:rFonts w:ascii="Arial" w:hAnsi="Arial" w:cs="Arial"/>
                <w:bCs/>
                <w:sz w:val="20"/>
                <w:szCs w:val="20"/>
              </w:rPr>
            </w:pPr>
            <w:r w:rsidRPr="00C62BC1">
              <w:rPr>
                <w:rFonts w:ascii="Arial" w:hAnsi="Arial" w:cs="Arial"/>
                <w:bCs/>
                <w:sz w:val="20"/>
                <w:szCs w:val="20"/>
              </w:rPr>
              <w:t>Giải thể</w:t>
            </w:r>
          </w:p>
        </w:tc>
        <w:tc>
          <w:tcPr>
            <w:tcW w:w="1525" w:type="dxa"/>
            <w:tcBorders>
              <w:top w:val="single" w:sz="4" w:space="0" w:color="auto"/>
              <w:bottom w:val="single" w:sz="4" w:space="0" w:color="auto"/>
            </w:tcBorders>
            <w:vAlign w:val="center"/>
            <w:hideMark/>
          </w:tcPr>
          <w:p w14:paraId="609B6046" w14:textId="77777777" w:rsidR="0005300F" w:rsidRPr="00C62BC1" w:rsidRDefault="0005300F" w:rsidP="00E15D7B">
            <w:pPr>
              <w:jc w:val="center"/>
              <w:rPr>
                <w:rFonts w:ascii="Arial" w:hAnsi="Arial" w:cs="Arial"/>
                <w:bCs/>
                <w:sz w:val="20"/>
                <w:szCs w:val="20"/>
              </w:rPr>
            </w:pPr>
            <w:r w:rsidRPr="00C62BC1">
              <w:rPr>
                <w:rFonts w:ascii="Arial" w:hAnsi="Arial" w:cs="Arial"/>
                <w:bCs/>
                <w:sz w:val="20"/>
                <w:szCs w:val="20"/>
              </w:rPr>
              <w:t>Thành lập mới</w:t>
            </w:r>
          </w:p>
        </w:tc>
        <w:tc>
          <w:tcPr>
            <w:tcW w:w="997" w:type="dxa"/>
            <w:tcBorders>
              <w:top w:val="single" w:sz="4" w:space="0" w:color="auto"/>
              <w:bottom w:val="single" w:sz="4" w:space="0" w:color="auto"/>
            </w:tcBorders>
            <w:vAlign w:val="center"/>
            <w:hideMark/>
          </w:tcPr>
          <w:p w14:paraId="43C9426F" w14:textId="77777777" w:rsidR="0005300F" w:rsidRPr="00C62BC1" w:rsidRDefault="0005300F" w:rsidP="00E15D7B">
            <w:pPr>
              <w:jc w:val="center"/>
              <w:rPr>
                <w:rFonts w:ascii="Arial" w:hAnsi="Arial" w:cs="Arial"/>
                <w:bCs/>
                <w:sz w:val="20"/>
                <w:szCs w:val="20"/>
              </w:rPr>
            </w:pPr>
            <w:r w:rsidRPr="00C62BC1">
              <w:rPr>
                <w:rFonts w:ascii="Arial" w:hAnsi="Arial" w:cs="Arial"/>
                <w:bCs/>
                <w:sz w:val="20"/>
                <w:szCs w:val="20"/>
              </w:rPr>
              <w:t>Giải thể</w:t>
            </w:r>
          </w:p>
        </w:tc>
      </w:tr>
      <w:tr w:rsidR="00951742" w:rsidRPr="00C62BC1" w14:paraId="611FA69B" w14:textId="77777777" w:rsidTr="00E15D7B">
        <w:trPr>
          <w:cantSplit/>
          <w:trHeight w:val="282"/>
          <w:jc w:val="center"/>
        </w:trPr>
        <w:tc>
          <w:tcPr>
            <w:tcW w:w="3996" w:type="dxa"/>
            <w:noWrap/>
            <w:vAlign w:val="bottom"/>
            <w:hideMark/>
          </w:tcPr>
          <w:p w14:paraId="611584C2" w14:textId="77777777" w:rsidR="0005300F" w:rsidRPr="00C62BC1" w:rsidRDefault="0005300F" w:rsidP="00E15D7B">
            <w:pPr>
              <w:rPr>
                <w:rFonts w:ascii="Arial" w:hAnsi="Arial" w:cs="Arial"/>
                <w:sz w:val="20"/>
                <w:szCs w:val="20"/>
              </w:rPr>
            </w:pPr>
            <w:r w:rsidRPr="00C62BC1">
              <w:rPr>
                <w:rFonts w:ascii="Arial" w:hAnsi="Arial" w:cs="Arial"/>
                <w:sz w:val="20"/>
                <w:szCs w:val="20"/>
              </w:rPr>
              <w:t>Bán buôn, bán lẻ, sửa chữa ô tô, xe máy</w:t>
            </w:r>
          </w:p>
        </w:tc>
        <w:tc>
          <w:tcPr>
            <w:tcW w:w="1585" w:type="dxa"/>
            <w:tcBorders>
              <w:top w:val="single" w:sz="4" w:space="0" w:color="auto"/>
            </w:tcBorders>
            <w:noWrap/>
            <w:vAlign w:val="bottom"/>
          </w:tcPr>
          <w:p w14:paraId="1192E62A" w14:textId="77777777" w:rsidR="0005300F" w:rsidRPr="00C62BC1" w:rsidRDefault="0005300F" w:rsidP="00E15D7B">
            <w:pPr>
              <w:ind w:right="176"/>
              <w:jc w:val="right"/>
              <w:rPr>
                <w:rFonts w:ascii="Arial" w:hAnsi="Arial" w:cs="Arial"/>
                <w:sz w:val="20"/>
                <w:szCs w:val="20"/>
              </w:rPr>
            </w:pPr>
            <w:r w:rsidRPr="00C62BC1">
              <w:rPr>
                <w:rFonts w:ascii="Arial" w:hAnsi="Arial" w:cs="Arial"/>
                <w:sz w:val="20"/>
                <w:szCs w:val="20"/>
              </w:rPr>
              <w:t>75.606</w:t>
            </w:r>
          </w:p>
        </w:tc>
        <w:tc>
          <w:tcPr>
            <w:tcW w:w="1193" w:type="dxa"/>
            <w:tcBorders>
              <w:top w:val="single" w:sz="4" w:space="0" w:color="auto"/>
            </w:tcBorders>
            <w:noWrap/>
            <w:vAlign w:val="bottom"/>
          </w:tcPr>
          <w:p w14:paraId="4B948B03" w14:textId="77777777" w:rsidR="0005300F" w:rsidRPr="00C62BC1" w:rsidRDefault="0005300F" w:rsidP="00E15D7B">
            <w:pPr>
              <w:ind w:right="176"/>
              <w:jc w:val="right"/>
              <w:rPr>
                <w:rFonts w:ascii="Arial" w:hAnsi="Arial" w:cs="Arial"/>
                <w:sz w:val="20"/>
                <w:szCs w:val="20"/>
              </w:rPr>
            </w:pPr>
            <w:r w:rsidRPr="00C62BC1">
              <w:rPr>
                <w:rFonts w:ascii="Arial" w:hAnsi="Arial" w:cs="Arial"/>
                <w:sz w:val="20"/>
                <w:szCs w:val="20"/>
              </w:rPr>
              <w:t>11.296</w:t>
            </w:r>
          </w:p>
        </w:tc>
        <w:tc>
          <w:tcPr>
            <w:tcW w:w="1525" w:type="dxa"/>
            <w:tcBorders>
              <w:top w:val="single" w:sz="4" w:space="0" w:color="auto"/>
            </w:tcBorders>
            <w:noWrap/>
            <w:vAlign w:val="bottom"/>
          </w:tcPr>
          <w:p w14:paraId="1CA5BCF2" w14:textId="77777777" w:rsidR="0005300F" w:rsidRPr="00C62BC1" w:rsidRDefault="0005300F" w:rsidP="00E15D7B">
            <w:pPr>
              <w:ind w:right="316"/>
              <w:jc w:val="right"/>
              <w:rPr>
                <w:rFonts w:ascii="Arial" w:hAnsi="Arial" w:cs="Arial"/>
                <w:sz w:val="20"/>
                <w:szCs w:val="20"/>
              </w:rPr>
            </w:pPr>
            <w:r w:rsidRPr="00C62BC1">
              <w:rPr>
                <w:rFonts w:ascii="Arial" w:hAnsi="Arial" w:cs="Arial"/>
                <w:sz w:val="20"/>
                <w:szCs w:val="20"/>
              </w:rPr>
              <w:t>26,1</w:t>
            </w:r>
          </w:p>
        </w:tc>
        <w:tc>
          <w:tcPr>
            <w:tcW w:w="997" w:type="dxa"/>
            <w:tcBorders>
              <w:top w:val="single" w:sz="4" w:space="0" w:color="auto"/>
            </w:tcBorders>
            <w:noWrap/>
            <w:vAlign w:val="bottom"/>
          </w:tcPr>
          <w:p w14:paraId="1D4E5500" w14:textId="77777777" w:rsidR="0005300F" w:rsidRPr="00C62BC1" w:rsidRDefault="0005300F" w:rsidP="00E15D7B">
            <w:pPr>
              <w:ind w:right="176"/>
              <w:jc w:val="right"/>
              <w:rPr>
                <w:rFonts w:ascii="Arial" w:hAnsi="Arial" w:cs="Arial"/>
                <w:sz w:val="20"/>
                <w:szCs w:val="20"/>
              </w:rPr>
            </w:pPr>
            <w:r w:rsidRPr="00C62BC1">
              <w:rPr>
                <w:rFonts w:ascii="Arial" w:hAnsi="Arial" w:cs="Arial"/>
                <w:sz w:val="20"/>
                <w:szCs w:val="20"/>
              </w:rPr>
              <w:t>44,3</w:t>
            </w:r>
          </w:p>
        </w:tc>
      </w:tr>
      <w:tr w:rsidR="00951742" w:rsidRPr="00C62BC1" w14:paraId="058B4D8B" w14:textId="77777777" w:rsidTr="00E15D7B">
        <w:trPr>
          <w:cantSplit/>
          <w:trHeight w:val="297"/>
          <w:jc w:val="center"/>
        </w:trPr>
        <w:tc>
          <w:tcPr>
            <w:tcW w:w="3996" w:type="dxa"/>
            <w:noWrap/>
            <w:vAlign w:val="bottom"/>
            <w:hideMark/>
          </w:tcPr>
          <w:p w14:paraId="16477EB3" w14:textId="77777777" w:rsidR="0005300F" w:rsidRPr="00C62BC1" w:rsidRDefault="0005300F" w:rsidP="00E15D7B">
            <w:pPr>
              <w:rPr>
                <w:rFonts w:ascii="Arial" w:hAnsi="Arial" w:cs="Arial"/>
                <w:sz w:val="20"/>
                <w:szCs w:val="20"/>
              </w:rPr>
            </w:pPr>
            <w:r w:rsidRPr="00C62BC1">
              <w:rPr>
                <w:rFonts w:ascii="Arial" w:hAnsi="Arial" w:cs="Arial"/>
                <w:sz w:val="20"/>
                <w:szCs w:val="20"/>
              </w:rPr>
              <w:t>Công nghiệp chế biến chế tạo</w:t>
            </w:r>
          </w:p>
        </w:tc>
        <w:tc>
          <w:tcPr>
            <w:tcW w:w="1585" w:type="dxa"/>
            <w:noWrap/>
            <w:vAlign w:val="bottom"/>
          </w:tcPr>
          <w:p w14:paraId="4FD44C34" w14:textId="77777777" w:rsidR="0005300F" w:rsidRPr="00C62BC1" w:rsidRDefault="0005300F" w:rsidP="00E15D7B">
            <w:pPr>
              <w:ind w:right="176"/>
              <w:jc w:val="right"/>
              <w:rPr>
                <w:rFonts w:ascii="Arial" w:hAnsi="Arial" w:cs="Arial"/>
                <w:sz w:val="20"/>
                <w:szCs w:val="20"/>
              </w:rPr>
            </w:pPr>
            <w:r w:rsidRPr="00C62BC1">
              <w:rPr>
                <w:rFonts w:ascii="Arial" w:hAnsi="Arial" w:cs="Arial"/>
                <w:sz w:val="20"/>
                <w:szCs w:val="20"/>
              </w:rPr>
              <w:t>23.737</w:t>
            </w:r>
          </w:p>
        </w:tc>
        <w:tc>
          <w:tcPr>
            <w:tcW w:w="1193" w:type="dxa"/>
            <w:noWrap/>
            <w:vAlign w:val="bottom"/>
          </w:tcPr>
          <w:p w14:paraId="1E7C430E" w14:textId="77777777" w:rsidR="0005300F" w:rsidRPr="00C62BC1" w:rsidRDefault="0005300F" w:rsidP="00E15D7B">
            <w:pPr>
              <w:ind w:right="176"/>
              <w:jc w:val="right"/>
              <w:rPr>
                <w:rFonts w:ascii="Arial" w:hAnsi="Arial" w:cs="Arial"/>
                <w:sz w:val="20"/>
                <w:szCs w:val="20"/>
              </w:rPr>
            </w:pPr>
            <w:r w:rsidRPr="00C62BC1">
              <w:rPr>
                <w:rFonts w:ascii="Arial" w:hAnsi="Arial" w:cs="Arial"/>
                <w:sz w:val="20"/>
                <w:szCs w:val="20"/>
              </w:rPr>
              <w:t>3.390</w:t>
            </w:r>
          </w:p>
        </w:tc>
        <w:tc>
          <w:tcPr>
            <w:tcW w:w="1525" w:type="dxa"/>
            <w:noWrap/>
            <w:vAlign w:val="bottom"/>
          </w:tcPr>
          <w:p w14:paraId="20253399" w14:textId="77777777" w:rsidR="0005300F" w:rsidRPr="00C62BC1" w:rsidRDefault="0005300F" w:rsidP="00E15D7B">
            <w:pPr>
              <w:ind w:right="316"/>
              <w:jc w:val="right"/>
              <w:rPr>
                <w:rFonts w:ascii="Arial" w:hAnsi="Arial" w:cs="Arial"/>
                <w:sz w:val="20"/>
                <w:szCs w:val="20"/>
              </w:rPr>
            </w:pPr>
            <w:r w:rsidRPr="00C62BC1">
              <w:rPr>
                <w:rFonts w:ascii="Arial" w:hAnsi="Arial" w:cs="Arial"/>
                <w:sz w:val="20"/>
                <w:szCs w:val="20"/>
              </w:rPr>
              <w:t>32,9</w:t>
            </w:r>
          </w:p>
        </w:tc>
        <w:tc>
          <w:tcPr>
            <w:tcW w:w="997" w:type="dxa"/>
            <w:noWrap/>
            <w:vAlign w:val="bottom"/>
          </w:tcPr>
          <w:p w14:paraId="4E39414F" w14:textId="77777777" w:rsidR="0005300F" w:rsidRPr="00C62BC1" w:rsidRDefault="0005300F" w:rsidP="00E15D7B">
            <w:pPr>
              <w:ind w:right="176"/>
              <w:jc w:val="right"/>
              <w:rPr>
                <w:rFonts w:ascii="Arial" w:hAnsi="Arial" w:cs="Arial"/>
                <w:sz w:val="20"/>
                <w:szCs w:val="20"/>
              </w:rPr>
            </w:pPr>
            <w:r w:rsidRPr="00C62BC1">
              <w:rPr>
                <w:rFonts w:ascii="Arial" w:hAnsi="Arial" w:cs="Arial"/>
                <w:sz w:val="20"/>
                <w:szCs w:val="20"/>
              </w:rPr>
              <w:t>64,7</w:t>
            </w:r>
          </w:p>
        </w:tc>
      </w:tr>
      <w:tr w:rsidR="00951742" w:rsidRPr="00C62BC1" w14:paraId="261FBAB9" w14:textId="77777777" w:rsidTr="00E15D7B">
        <w:trPr>
          <w:cantSplit/>
          <w:trHeight w:val="297"/>
          <w:jc w:val="center"/>
        </w:trPr>
        <w:tc>
          <w:tcPr>
            <w:tcW w:w="3996" w:type="dxa"/>
            <w:noWrap/>
            <w:vAlign w:val="bottom"/>
            <w:hideMark/>
          </w:tcPr>
          <w:p w14:paraId="4C2A78CE" w14:textId="77777777" w:rsidR="0005300F" w:rsidRPr="00C62BC1" w:rsidRDefault="0005300F" w:rsidP="00E15D7B">
            <w:pPr>
              <w:rPr>
                <w:rFonts w:ascii="Arial" w:hAnsi="Arial" w:cs="Arial"/>
                <w:sz w:val="20"/>
                <w:szCs w:val="20"/>
              </w:rPr>
            </w:pPr>
            <w:r w:rsidRPr="00C62BC1">
              <w:rPr>
                <w:rFonts w:ascii="Arial" w:hAnsi="Arial" w:cs="Arial"/>
                <w:sz w:val="20"/>
                <w:szCs w:val="20"/>
              </w:rPr>
              <w:t>Xây dựng</w:t>
            </w:r>
          </w:p>
        </w:tc>
        <w:tc>
          <w:tcPr>
            <w:tcW w:w="1585" w:type="dxa"/>
            <w:noWrap/>
            <w:vAlign w:val="bottom"/>
          </w:tcPr>
          <w:p w14:paraId="1469503A" w14:textId="77777777" w:rsidR="0005300F" w:rsidRPr="00C62BC1" w:rsidRDefault="0005300F" w:rsidP="00E15D7B">
            <w:pPr>
              <w:ind w:right="176"/>
              <w:jc w:val="right"/>
              <w:rPr>
                <w:rFonts w:ascii="Arial" w:hAnsi="Arial" w:cs="Arial"/>
                <w:sz w:val="20"/>
                <w:szCs w:val="20"/>
              </w:rPr>
            </w:pPr>
            <w:r w:rsidRPr="00C62BC1">
              <w:rPr>
                <w:rFonts w:ascii="Arial" w:hAnsi="Arial" w:cs="Arial"/>
                <w:sz w:val="20"/>
                <w:szCs w:val="20"/>
              </w:rPr>
              <w:t>14.294</w:t>
            </w:r>
          </w:p>
        </w:tc>
        <w:tc>
          <w:tcPr>
            <w:tcW w:w="1193" w:type="dxa"/>
            <w:noWrap/>
            <w:vAlign w:val="bottom"/>
          </w:tcPr>
          <w:p w14:paraId="27378F4C" w14:textId="77777777" w:rsidR="0005300F" w:rsidRPr="00C62BC1" w:rsidRDefault="0005300F" w:rsidP="00E15D7B">
            <w:pPr>
              <w:ind w:right="176"/>
              <w:jc w:val="right"/>
              <w:rPr>
                <w:rFonts w:ascii="Arial" w:hAnsi="Arial" w:cs="Arial"/>
                <w:sz w:val="20"/>
                <w:szCs w:val="20"/>
              </w:rPr>
            </w:pPr>
            <w:r w:rsidRPr="00C62BC1">
              <w:rPr>
                <w:rFonts w:ascii="Arial" w:hAnsi="Arial" w:cs="Arial"/>
                <w:sz w:val="20"/>
                <w:szCs w:val="20"/>
              </w:rPr>
              <w:t>2.262</w:t>
            </w:r>
          </w:p>
        </w:tc>
        <w:tc>
          <w:tcPr>
            <w:tcW w:w="1525" w:type="dxa"/>
            <w:noWrap/>
            <w:vAlign w:val="bottom"/>
          </w:tcPr>
          <w:p w14:paraId="1981225D" w14:textId="77777777" w:rsidR="0005300F" w:rsidRPr="00C62BC1" w:rsidRDefault="0005300F" w:rsidP="00E15D7B">
            <w:pPr>
              <w:ind w:right="316"/>
              <w:jc w:val="right"/>
              <w:rPr>
                <w:rFonts w:ascii="Arial" w:hAnsi="Arial" w:cs="Arial"/>
                <w:sz w:val="20"/>
                <w:szCs w:val="20"/>
              </w:rPr>
            </w:pPr>
            <w:r w:rsidRPr="00C62BC1">
              <w:rPr>
                <w:rFonts w:ascii="Arial" w:hAnsi="Arial" w:cs="Arial"/>
                <w:sz w:val="20"/>
                <w:szCs w:val="20"/>
              </w:rPr>
              <w:t>-3,7</w:t>
            </w:r>
          </w:p>
        </w:tc>
        <w:tc>
          <w:tcPr>
            <w:tcW w:w="997" w:type="dxa"/>
            <w:noWrap/>
            <w:vAlign w:val="bottom"/>
          </w:tcPr>
          <w:p w14:paraId="0A1015C4" w14:textId="77777777" w:rsidR="0005300F" w:rsidRPr="00C62BC1" w:rsidRDefault="0005300F" w:rsidP="00E15D7B">
            <w:pPr>
              <w:ind w:right="176"/>
              <w:jc w:val="right"/>
              <w:rPr>
                <w:rFonts w:ascii="Arial" w:hAnsi="Arial" w:cs="Arial"/>
                <w:sz w:val="20"/>
                <w:szCs w:val="20"/>
              </w:rPr>
            </w:pPr>
            <w:r w:rsidRPr="00C62BC1">
              <w:rPr>
                <w:rFonts w:ascii="Arial" w:hAnsi="Arial" w:cs="Arial"/>
                <w:sz w:val="20"/>
                <w:szCs w:val="20"/>
              </w:rPr>
              <w:t>77,0</w:t>
            </w:r>
          </w:p>
        </w:tc>
      </w:tr>
      <w:tr w:rsidR="00951742" w:rsidRPr="00C62BC1" w14:paraId="59ED82C1" w14:textId="77777777" w:rsidTr="00E15D7B">
        <w:trPr>
          <w:cantSplit/>
          <w:trHeight w:val="297"/>
          <w:jc w:val="center"/>
        </w:trPr>
        <w:tc>
          <w:tcPr>
            <w:tcW w:w="3996" w:type="dxa"/>
            <w:noWrap/>
            <w:vAlign w:val="bottom"/>
            <w:hideMark/>
          </w:tcPr>
          <w:p w14:paraId="2A4B1FBA" w14:textId="77777777" w:rsidR="0005300F" w:rsidRPr="00C62BC1" w:rsidRDefault="0005300F" w:rsidP="00E15D7B">
            <w:pPr>
              <w:rPr>
                <w:rFonts w:ascii="Arial" w:hAnsi="Arial" w:cs="Arial"/>
                <w:sz w:val="20"/>
                <w:szCs w:val="20"/>
              </w:rPr>
            </w:pPr>
            <w:r w:rsidRPr="00C62BC1">
              <w:rPr>
                <w:rFonts w:ascii="Arial" w:hAnsi="Arial" w:cs="Arial"/>
                <w:sz w:val="20"/>
                <w:szCs w:val="20"/>
              </w:rPr>
              <w:t>Kinh doanh bất động sản</w:t>
            </w:r>
          </w:p>
        </w:tc>
        <w:tc>
          <w:tcPr>
            <w:tcW w:w="1585" w:type="dxa"/>
            <w:noWrap/>
            <w:vAlign w:val="bottom"/>
          </w:tcPr>
          <w:p w14:paraId="1F0CF837" w14:textId="77777777" w:rsidR="0005300F" w:rsidRPr="00C62BC1" w:rsidRDefault="0005300F" w:rsidP="00E15D7B">
            <w:pPr>
              <w:ind w:right="176"/>
              <w:jc w:val="right"/>
              <w:rPr>
                <w:rFonts w:ascii="Arial" w:hAnsi="Arial" w:cs="Arial"/>
                <w:sz w:val="20"/>
                <w:szCs w:val="20"/>
              </w:rPr>
            </w:pPr>
            <w:r w:rsidRPr="00C62BC1">
              <w:rPr>
                <w:rFonts w:ascii="Arial" w:hAnsi="Arial" w:cs="Arial"/>
                <w:sz w:val="20"/>
                <w:szCs w:val="20"/>
              </w:rPr>
              <w:t>5.183</w:t>
            </w:r>
          </w:p>
        </w:tc>
        <w:tc>
          <w:tcPr>
            <w:tcW w:w="1193" w:type="dxa"/>
            <w:noWrap/>
            <w:vAlign w:val="bottom"/>
          </w:tcPr>
          <w:p w14:paraId="4F9B210F" w14:textId="77777777" w:rsidR="0005300F" w:rsidRPr="00C62BC1" w:rsidRDefault="0005300F" w:rsidP="00E15D7B">
            <w:pPr>
              <w:ind w:right="176"/>
              <w:jc w:val="right"/>
              <w:rPr>
                <w:rFonts w:ascii="Arial" w:hAnsi="Arial" w:cs="Arial"/>
                <w:sz w:val="20"/>
                <w:szCs w:val="20"/>
              </w:rPr>
            </w:pPr>
            <w:r w:rsidRPr="00C62BC1">
              <w:rPr>
                <w:rFonts w:ascii="Arial" w:hAnsi="Arial" w:cs="Arial"/>
                <w:sz w:val="20"/>
                <w:szCs w:val="20"/>
              </w:rPr>
              <w:t>1.778</w:t>
            </w:r>
          </w:p>
        </w:tc>
        <w:tc>
          <w:tcPr>
            <w:tcW w:w="1525" w:type="dxa"/>
            <w:noWrap/>
            <w:vAlign w:val="bottom"/>
          </w:tcPr>
          <w:p w14:paraId="0D501671" w14:textId="77777777" w:rsidR="0005300F" w:rsidRPr="00C62BC1" w:rsidRDefault="0005300F" w:rsidP="00E15D7B">
            <w:pPr>
              <w:ind w:right="316"/>
              <w:jc w:val="right"/>
              <w:rPr>
                <w:rFonts w:ascii="Arial" w:hAnsi="Arial" w:cs="Arial"/>
                <w:sz w:val="20"/>
                <w:szCs w:val="20"/>
              </w:rPr>
            </w:pPr>
            <w:r w:rsidRPr="00C62BC1">
              <w:rPr>
                <w:rFonts w:ascii="Arial" w:hAnsi="Arial" w:cs="Arial"/>
                <w:sz w:val="20"/>
                <w:szCs w:val="20"/>
              </w:rPr>
              <w:t>22,2</w:t>
            </w:r>
          </w:p>
        </w:tc>
        <w:tc>
          <w:tcPr>
            <w:tcW w:w="997" w:type="dxa"/>
            <w:noWrap/>
            <w:vAlign w:val="bottom"/>
          </w:tcPr>
          <w:p w14:paraId="5479A64C" w14:textId="77777777" w:rsidR="0005300F" w:rsidRPr="00C62BC1" w:rsidRDefault="0005300F" w:rsidP="00E15D7B">
            <w:pPr>
              <w:ind w:right="176"/>
              <w:jc w:val="right"/>
              <w:rPr>
                <w:rFonts w:ascii="Arial" w:hAnsi="Arial" w:cs="Arial"/>
                <w:sz w:val="20"/>
                <w:szCs w:val="20"/>
              </w:rPr>
            </w:pPr>
            <w:r w:rsidRPr="00C62BC1">
              <w:rPr>
                <w:rFonts w:ascii="Arial" w:hAnsi="Arial" w:cs="Arial"/>
                <w:sz w:val="20"/>
                <w:szCs w:val="20"/>
              </w:rPr>
              <w:t>56,4</w:t>
            </w:r>
          </w:p>
        </w:tc>
      </w:tr>
      <w:tr w:rsidR="00951742" w:rsidRPr="00C62BC1" w14:paraId="46AB1B90" w14:textId="77777777" w:rsidTr="00E15D7B">
        <w:trPr>
          <w:cantSplit/>
          <w:trHeight w:val="297"/>
          <w:jc w:val="center"/>
        </w:trPr>
        <w:tc>
          <w:tcPr>
            <w:tcW w:w="3996" w:type="dxa"/>
            <w:noWrap/>
            <w:vAlign w:val="bottom"/>
            <w:hideMark/>
          </w:tcPr>
          <w:p w14:paraId="07BE1B74" w14:textId="77777777" w:rsidR="0005300F" w:rsidRPr="00C62BC1" w:rsidRDefault="0005300F" w:rsidP="00E15D7B">
            <w:pPr>
              <w:rPr>
                <w:rFonts w:ascii="Arial" w:hAnsi="Arial" w:cs="Arial"/>
                <w:sz w:val="20"/>
                <w:szCs w:val="20"/>
              </w:rPr>
            </w:pPr>
            <w:r w:rsidRPr="00C62BC1">
              <w:rPr>
                <w:rFonts w:ascii="Arial" w:hAnsi="Arial" w:cs="Arial"/>
                <w:sz w:val="20"/>
                <w:szCs w:val="20"/>
              </w:rPr>
              <w:t>Vận tải kho bãi</w:t>
            </w:r>
          </w:p>
        </w:tc>
        <w:tc>
          <w:tcPr>
            <w:tcW w:w="1585" w:type="dxa"/>
            <w:noWrap/>
            <w:vAlign w:val="bottom"/>
          </w:tcPr>
          <w:p w14:paraId="232FF5DA" w14:textId="77777777" w:rsidR="0005300F" w:rsidRPr="00C62BC1" w:rsidRDefault="0005300F" w:rsidP="00E15D7B">
            <w:pPr>
              <w:ind w:right="176"/>
              <w:jc w:val="right"/>
              <w:rPr>
                <w:rFonts w:ascii="Arial" w:hAnsi="Arial" w:cs="Arial"/>
                <w:sz w:val="20"/>
                <w:szCs w:val="20"/>
              </w:rPr>
            </w:pPr>
            <w:r w:rsidRPr="00C62BC1">
              <w:rPr>
                <w:rFonts w:ascii="Arial" w:hAnsi="Arial" w:cs="Arial"/>
                <w:sz w:val="20"/>
                <w:szCs w:val="20"/>
              </w:rPr>
              <w:t>10.269</w:t>
            </w:r>
          </w:p>
        </w:tc>
        <w:tc>
          <w:tcPr>
            <w:tcW w:w="1193" w:type="dxa"/>
            <w:noWrap/>
            <w:vAlign w:val="bottom"/>
          </w:tcPr>
          <w:p w14:paraId="01F77554" w14:textId="77777777" w:rsidR="0005300F" w:rsidRPr="00C62BC1" w:rsidRDefault="0005300F" w:rsidP="00E15D7B">
            <w:pPr>
              <w:ind w:right="176"/>
              <w:jc w:val="right"/>
              <w:rPr>
                <w:rFonts w:ascii="Arial" w:hAnsi="Arial" w:cs="Arial"/>
                <w:sz w:val="20"/>
                <w:szCs w:val="20"/>
              </w:rPr>
            </w:pPr>
            <w:r w:rsidRPr="00C62BC1">
              <w:rPr>
                <w:rFonts w:ascii="Arial" w:hAnsi="Arial" w:cs="Arial"/>
                <w:sz w:val="20"/>
                <w:szCs w:val="20"/>
              </w:rPr>
              <w:t>1.182</w:t>
            </w:r>
          </w:p>
        </w:tc>
        <w:tc>
          <w:tcPr>
            <w:tcW w:w="1525" w:type="dxa"/>
            <w:noWrap/>
            <w:vAlign w:val="bottom"/>
          </w:tcPr>
          <w:p w14:paraId="0D5CD5C9" w14:textId="77777777" w:rsidR="0005300F" w:rsidRPr="00C62BC1" w:rsidRDefault="0005300F" w:rsidP="00E15D7B">
            <w:pPr>
              <w:ind w:right="316"/>
              <w:jc w:val="right"/>
              <w:rPr>
                <w:rFonts w:ascii="Arial" w:hAnsi="Arial" w:cs="Arial"/>
                <w:sz w:val="20"/>
                <w:szCs w:val="20"/>
              </w:rPr>
            </w:pPr>
            <w:r w:rsidRPr="00C62BC1">
              <w:rPr>
                <w:rFonts w:ascii="Arial" w:hAnsi="Arial" w:cs="Arial"/>
                <w:sz w:val="20"/>
                <w:szCs w:val="20"/>
              </w:rPr>
              <w:t>29,3</w:t>
            </w:r>
          </w:p>
        </w:tc>
        <w:tc>
          <w:tcPr>
            <w:tcW w:w="997" w:type="dxa"/>
            <w:noWrap/>
            <w:vAlign w:val="bottom"/>
          </w:tcPr>
          <w:p w14:paraId="3D823153" w14:textId="77777777" w:rsidR="0005300F" w:rsidRPr="00C62BC1" w:rsidRDefault="0005300F" w:rsidP="00E15D7B">
            <w:pPr>
              <w:ind w:right="176"/>
              <w:jc w:val="right"/>
              <w:rPr>
                <w:rFonts w:ascii="Arial" w:hAnsi="Arial" w:cs="Arial"/>
                <w:sz w:val="20"/>
                <w:szCs w:val="20"/>
              </w:rPr>
            </w:pPr>
            <w:r w:rsidRPr="00C62BC1">
              <w:rPr>
                <w:rFonts w:ascii="Arial" w:hAnsi="Arial" w:cs="Arial"/>
                <w:sz w:val="20"/>
                <w:szCs w:val="20"/>
              </w:rPr>
              <w:t>61,5</w:t>
            </w:r>
          </w:p>
        </w:tc>
      </w:tr>
      <w:tr w:rsidR="00951742" w:rsidRPr="00C62BC1" w14:paraId="431E708C" w14:textId="77777777" w:rsidTr="00E15D7B">
        <w:trPr>
          <w:cantSplit/>
          <w:trHeight w:val="297"/>
          <w:jc w:val="center"/>
        </w:trPr>
        <w:tc>
          <w:tcPr>
            <w:tcW w:w="3996" w:type="dxa"/>
            <w:noWrap/>
            <w:vAlign w:val="bottom"/>
            <w:hideMark/>
          </w:tcPr>
          <w:p w14:paraId="2D4D380F" w14:textId="77777777" w:rsidR="0005300F" w:rsidRPr="00C62BC1" w:rsidRDefault="0005300F" w:rsidP="00E15D7B">
            <w:pPr>
              <w:rPr>
                <w:rFonts w:ascii="Arial" w:hAnsi="Arial" w:cs="Arial"/>
                <w:sz w:val="20"/>
                <w:szCs w:val="20"/>
              </w:rPr>
            </w:pPr>
            <w:r w:rsidRPr="00C62BC1">
              <w:rPr>
                <w:rFonts w:ascii="Arial" w:hAnsi="Arial" w:cs="Arial"/>
                <w:sz w:val="20"/>
                <w:szCs w:val="20"/>
              </w:rPr>
              <w:t>Dịch vụ lưu trú và ăn uống</w:t>
            </w:r>
          </w:p>
        </w:tc>
        <w:tc>
          <w:tcPr>
            <w:tcW w:w="1585" w:type="dxa"/>
            <w:noWrap/>
            <w:vAlign w:val="bottom"/>
          </w:tcPr>
          <w:p w14:paraId="066C5BA3" w14:textId="77777777" w:rsidR="0005300F" w:rsidRPr="00C62BC1" w:rsidRDefault="0005300F" w:rsidP="00E15D7B">
            <w:pPr>
              <w:ind w:right="176"/>
              <w:jc w:val="right"/>
              <w:rPr>
                <w:rFonts w:ascii="Arial" w:hAnsi="Arial" w:cs="Arial"/>
                <w:sz w:val="20"/>
                <w:szCs w:val="20"/>
              </w:rPr>
            </w:pPr>
            <w:r w:rsidRPr="00C62BC1">
              <w:rPr>
                <w:rFonts w:ascii="Arial" w:hAnsi="Arial" w:cs="Arial"/>
                <w:sz w:val="20"/>
                <w:szCs w:val="20"/>
              </w:rPr>
              <w:t>7.042</w:t>
            </w:r>
          </w:p>
        </w:tc>
        <w:tc>
          <w:tcPr>
            <w:tcW w:w="1193" w:type="dxa"/>
            <w:noWrap/>
            <w:vAlign w:val="bottom"/>
          </w:tcPr>
          <w:p w14:paraId="06043AEF" w14:textId="77777777" w:rsidR="0005300F" w:rsidRPr="00C62BC1" w:rsidRDefault="0005300F" w:rsidP="00E15D7B">
            <w:pPr>
              <w:ind w:right="176"/>
              <w:jc w:val="right"/>
              <w:rPr>
                <w:rFonts w:ascii="Arial" w:hAnsi="Arial" w:cs="Arial"/>
                <w:sz w:val="20"/>
                <w:szCs w:val="20"/>
              </w:rPr>
            </w:pPr>
            <w:r w:rsidRPr="00C62BC1">
              <w:rPr>
                <w:rFonts w:ascii="Arial" w:hAnsi="Arial" w:cs="Arial"/>
                <w:sz w:val="20"/>
                <w:szCs w:val="20"/>
              </w:rPr>
              <w:t>1.569</w:t>
            </w:r>
          </w:p>
        </w:tc>
        <w:tc>
          <w:tcPr>
            <w:tcW w:w="1525" w:type="dxa"/>
            <w:noWrap/>
            <w:vAlign w:val="bottom"/>
          </w:tcPr>
          <w:p w14:paraId="6B559792" w14:textId="77777777" w:rsidR="0005300F" w:rsidRPr="00C62BC1" w:rsidRDefault="0005300F" w:rsidP="00E15D7B">
            <w:pPr>
              <w:ind w:right="316"/>
              <w:jc w:val="right"/>
              <w:rPr>
                <w:rFonts w:ascii="Arial" w:hAnsi="Arial" w:cs="Arial"/>
                <w:sz w:val="20"/>
                <w:szCs w:val="20"/>
              </w:rPr>
            </w:pPr>
            <w:r w:rsidRPr="00C62BC1">
              <w:rPr>
                <w:rFonts w:ascii="Arial" w:hAnsi="Arial" w:cs="Arial"/>
                <w:sz w:val="20"/>
                <w:szCs w:val="20"/>
              </w:rPr>
              <w:t>29,7</w:t>
            </w:r>
          </w:p>
        </w:tc>
        <w:tc>
          <w:tcPr>
            <w:tcW w:w="997" w:type="dxa"/>
            <w:noWrap/>
            <w:vAlign w:val="bottom"/>
          </w:tcPr>
          <w:p w14:paraId="4DA4B772" w14:textId="77777777" w:rsidR="0005300F" w:rsidRPr="00C62BC1" w:rsidRDefault="0005300F" w:rsidP="00E15D7B">
            <w:pPr>
              <w:ind w:right="176"/>
              <w:jc w:val="right"/>
              <w:rPr>
                <w:rFonts w:ascii="Arial" w:hAnsi="Arial" w:cs="Arial"/>
                <w:sz w:val="20"/>
                <w:szCs w:val="20"/>
              </w:rPr>
            </w:pPr>
            <w:r w:rsidRPr="00C62BC1">
              <w:rPr>
                <w:rFonts w:ascii="Arial" w:hAnsi="Arial" w:cs="Arial"/>
                <w:sz w:val="20"/>
                <w:szCs w:val="20"/>
              </w:rPr>
              <w:t>81,0</w:t>
            </w:r>
          </w:p>
        </w:tc>
      </w:tr>
      <w:tr w:rsidR="00500734" w:rsidRPr="00C62BC1" w14:paraId="11254201" w14:textId="77777777" w:rsidTr="00E15D7B">
        <w:trPr>
          <w:cantSplit/>
          <w:trHeight w:val="297"/>
          <w:jc w:val="center"/>
        </w:trPr>
        <w:tc>
          <w:tcPr>
            <w:tcW w:w="3996" w:type="dxa"/>
            <w:tcBorders>
              <w:bottom w:val="single" w:sz="4" w:space="0" w:color="auto"/>
            </w:tcBorders>
            <w:noWrap/>
            <w:vAlign w:val="bottom"/>
          </w:tcPr>
          <w:p w14:paraId="01D0866D" w14:textId="77777777" w:rsidR="0005300F" w:rsidRPr="00C62BC1" w:rsidRDefault="0005300F" w:rsidP="00E15D7B">
            <w:pPr>
              <w:rPr>
                <w:rFonts w:ascii="Arial" w:hAnsi="Arial" w:cs="Arial"/>
                <w:sz w:val="20"/>
                <w:szCs w:val="20"/>
              </w:rPr>
            </w:pPr>
            <w:r w:rsidRPr="00C62BC1">
              <w:rPr>
                <w:rFonts w:ascii="Arial" w:hAnsi="Arial" w:cs="Arial"/>
                <w:sz w:val="20"/>
                <w:szCs w:val="20"/>
              </w:rPr>
              <w:t>Sản xuất phân phối, điện, nước, gas</w:t>
            </w:r>
          </w:p>
        </w:tc>
        <w:tc>
          <w:tcPr>
            <w:tcW w:w="1585" w:type="dxa"/>
            <w:tcBorders>
              <w:bottom w:val="single" w:sz="4" w:space="0" w:color="auto"/>
            </w:tcBorders>
            <w:noWrap/>
            <w:vAlign w:val="bottom"/>
          </w:tcPr>
          <w:p w14:paraId="37C1B5BA" w14:textId="77777777" w:rsidR="0005300F" w:rsidRPr="00C62BC1" w:rsidRDefault="0005300F" w:rsidP="00E15D7B">
            <w:pPr>
              <w:ind w:right="176"/>
              <w:jc w:val="right"/>
              <w:rPr>
                <w:rFonts w:ascii="Arial" w:hAnsi="Arial" w:cs="Arial"/>
                <w:sz w:val="20"/>
                <w:szCs w:val="20"/>
              </w:rPr>
            </w:pPr>
            <w:r w:rsidRPr="00C62BC1">
              <w:rPr>
                <w:rFonts w:ascii="Arial" w:hAnsi="Arial" w:cs="Arial"/>
                <w:sz w:val="20"/>
                <w:szCs w:val="20"/>
              </w:rPr>
              <w:t>1.422</w:t>
            </w:r>
          </w:p>
        </w:tc>
        <w:tc>
          <w:tcPr>
            <w:tcW w:w="1193" w:type="dxa"/>
            <w:tcBorders>
              <w:bottom w:val="single" w:sz="4" w:space="0" w:color="auto"/>
            </w:tcBorders>
            <w:noWrap/>
            <w:vAlign w:val="bottom"/>
          </w:tcPr>
          <w:p w14:paraId="1D6567E8" w14:textId="77777777" w:rsidR="0005300F" w:rsidRPr="00C62BC1" w:rsidRDefault="0005300F" w:rsidP="00E15D7B">
            <w:pPr>
              <w:ind w:right="176"/>
              <w:jc w:val="right"/>
              <w:rPr>
                <w:rFonts w:ascii="Arial" w:hAnsi="Arial" w:cs="Arial"/>
                <w:sz w:val="20"/>
                <w:szCs w:val="20"/>
              </w:rPr>
            </w:pPr>
            <w:r w:rsidRPr="00C62BC1">
              <w:rPr>
                <w:rFonts w:ascii="Arial" w:hAnsi="Arial" w:cs="Arial"/>
                <w:sz w:val="20"/>
                <w:szCs w:val="20"/>
              </w:rPr>
              <w:t>365</w:t>
            </w:r>
          </w:p>
        </w:tc>
        <w:tc>
          <w:tcPr>
            <w:tcW w:w="1525" w:type="dxa"/>
            <w:tcBorders>
              <w:bottom w:val="single" w:sz="4" w:space="0" w:color="auto"/>
            </w:tcBorders>
            <w:noWrap/>
            <w:vAlign w:val="bottom"/>
          </w:tcPr>
          <w:p w14:paraId="564FF6C3" w14:textId="77777777" w:rsidR="0005300F" w:rsidRPr="00C62BC1" w:rsidRDefault="0005300F" w:rsidP="00E15D7B">
            <w:pPr>
              <w:ind w:right="316"/>
              <w:jc w:val="right"/>
              <w:rPr>
                <w:rFonts w:ascii="Arial" w:hAnsi="Arial" w:cs="Arial"/>
                <w:sz w:val="20"/>
                <w:szCs w:val="20"/>
              </w:rPr>
            </w:pPr>
            <w:r w:rsidRPr="00C62BC1">
              <w:rPr>
                <w:rFonts w:ascii="Arial" w:hAnsi="Arial" w:cs="Arial"/>
                <w:sz w:val="20"/>
                <w:szCs w:val="20"/>
              </w:rPr>
              <w:t>30,2</w:t>
            </w:r>
          </w:p>
        </w:tc>
        <w:tc>
          <w:tcPr>
            <w:tcW w:w="997" w:type="dxa"/>
            <w:tcBorders>
              <w:bottom w:val="single" w:sz="4" w:space="0" w:color="auto"/>
            </w:tcBorders>
            <w:noWrap/>
            <w:vAlign w:val="bottom"/>
          </w:tcPr>
          <w:p w14:paraId="54BA7B9E" w14:textId="77777777" w:rsidR="0005300F" w:rsidRPr="00C62BC1" w:rsidRDefault="0005300F" w:rsidP="00E15D7B">
            <w:pPr>
              <w:ind w:right="176"/>
              <w:jc w:val="right"/>
              <w:rPr>
                <w:rFonts w:ascii="Arial" w:hAnsi="Arial" w:cs="Arial"/>
                <w:sz w:val="20"/>
                <w:szCs w:val="20"/>
              </w:rPr>
            </w:pPr>
            <w:r w:rsidRPr="00C62BC1">
              <w:rPr>
                <w:rFonts w:ascii="Arial" w:hAnsi="Arial" w:cs="Arial"/>
                <w:sz w:val="20"/>
                <w:szCs w:val="20"/>
              </w:rPr>
              <w:t>60,1</w:t>
            </w:r>
          </w:p>
        </w:tc>
      </w:tr>
    </w:tbl>
    <w:p w14:paraId="21C05337" w14:textId="7D773B2C" w:rsidR="00796815" w:rsidRPr="00C62BC1" w:rsidRDefault="00796815" w:rsidP="00FD1239">
      <w:pPr>
        <w:spacing w:before="120" w:after="120" w:line="264" w:lineRule="auto"/>
        <w:ind w:firstLine="720"/>
        <w:jc w:val="both"/>
        <w:rPr>
          <w:b/>
          <w:bCs/>
          <w:lang w:val="af-ZA"/>
        </w:rPr>
      </w:pPr>
      <w:r w:rsidRPr="00C62BC1">
        <w:rPr>
          <w:b/>
          <w:bCs/>
          <w:lang w:val="af-ZA"/>
        </w:rPr>
        <w:t>4. Đầu tư</w:t>
      </w:r>
    </w:p>
    <w:p w14:paraId="71227501" w14:textId="5B6DFB06" w:rsidR="00E17CFD" w:rsidRPr="00C62BC1" w:rsidRDefault="00E17CFD" w:rsidP="006A050D">
      <w:pPr>
        <w:spacing w:after="120" w:line="264" w:lineRule="auto"/>
        <w:ind w:firstLine="720"/>
        <w:jc w:val="both"/>
        <w:rPr>
          <w:i/>
          <w:iCs/>
          <w:spacing w:val="-4"/>
          <w:lang w:val="de-DE"/>
        </w:rPr>
      </w:pPr>
      <w:bookmarkStart w:id="0" w:name="_Hlk89176061"/>
      <w:r w:rsidRPr="00C62BC1">
        <w:rPr>
          <w:i/>
          <w:spacing w:val="-4"/>
          <w:lang w:val="it-IT"/>
        </w:rPr>
        <w:t xml:space="preserve">Vốn đầu tư từ nguồn ngân sách Nhà nước tháng Mười Một </w:t>
      </w:r>
      <w:r w:rsidRPr="00C62BC1">
        <w:rPr>
          <w:bCs/>
          <w:i/>
          <w:spacing w:val="-4"/>
          <w:lang w:val="af-ZA"/>
        </w:rPr>
        <w:t xml:space="preserve">được các bộ, ngành và địa phương </w:t>
      </w:r>
      <w:r w:rsidRPr="00C62BC1">
        <w:rPr>
          <w:i/>
          <w:spacing w:val="-4"/>
          <w:lang w:val="af-ZA"/>
        </w:rPr>
        <w:t>tập trung đẩy mạnh thực hiện, đ</w:t>
      </w:r>
      <w:r w:rsidRPr="00C62BC1">
        <w:rPr>
          <w:i/>
          <w:lang w:val="pl-PL"/>
        </w:rPr>
        <w:t xml:space="preserve">ạt quy mô cao nhất từ trước đến nay, </w:t>
      </w:r>
      <w:r w:rsidRPr="00C62BC1">
        <w:rPr>
          <w:i/>
          <w:spacing w:val="-4"/>
          <w:lang w:val="af-ZA"/>
        </w:rPr>
        <w:t>tạo động lực thúc đẩy tăng trưởng kinh tế</w:t>
      </w:r>
      <w:r w:rsidRPr="00C62BC1">
        <w:rPr>
          <w:lang w:val="pl-PL"/>
        </w:rPr>
        <w:t>.</w:t>
      </w:r>
      <w:r w:rsidRPr="00C62BC1">
        <w:rPr>
          <w:i/>
          <w:spacing w:val="-4"/>
          <w:lang w:val="af-ZA"/>
        </w:rPr>
        <w:t xml:space="preserve"> T</w:t>
      </w:r>
      <w:r w:rsidRPr="00C62BC1">
        <w:rPr>
          <w:i/>
          <w:spacing w:val="-4"/>
          <w:lang w:val="it-IT"/>
        </w:rPr>
        <w:t xml:space="preserve">ính chung mười một tháng năm 2025, vốn đầu tư thực hiện từ nguồn ngân sách Nhà nước ước đạt 72,2% kế hoạch, tăng 26,8% so với cùng kỳ năm trước. Vốn đầu tư trực tiếp nước ngoài (FDI) thực hiện tại Việt Nam mười một tháng năm 2025 ước đạt </w:t>
      </w:r>
      <w:r w:rsidR="00500734" w:rsidRPr="00C62BC1">
        <w:rPr>
          <w:i/>
          <w:spacing w:val="-4"/>
          <w:lang w:val="it-IT"/>
        </w:rPr>
        <w:t xml:space="preserve">23,6 </w:t>
      </w:r>
      <w:r w:rsidRPr="00C62BC1">
        <w:rPr>
          <w:i/>
          <w:spacing w:val="-4"/>
          <w:lang w:val="it-IT"/>
        </w:rPr>
        <w:t>tỷ USD, tăng</w:t>
      </w:r>
      <w:r w:rsidR="00500734" w:rsidRPr="00C62BC1">
        <w:rPr>
          <w:i/>
          <w:spacing w:val="-4"/>
          <w:lang w:val="it-IT"/>
        </w:rPr>
        <w:t xml:space="preserve"> 8,9</w:t>
      </w:r>
      <w:r w:rsidRPr="00C62BC1">
        <w:rPr>
          <w:i/>
          <w:spacing w:val="-4"/>
          <w:lang w:val="it-IT"/>
        </w:rPr>
        <w:t>% so với cùng kỳ năm trước</w:t>
      </w:r>
      <w:r w:rsidRPr="00C62BC1">
        <w:rPr>
          <w:i/>
          <w:iCs/>
          <w:spacing w:val="-4"/>
          <w:lang w:val="de-DE"/>
        </w:rPr>
        <w:t>.</w:t>
      </w:r>
    </w:p>
    <w:p w14:paraId="51EF8F10" w14:textId="77777777" w:rsidR="00E17CFD" w:rsidRPr="00C62BC1" w:rsidRDefault="00E17CFD" w:rsidP="006A050D">
      <w:pPr>
        <w:spacing w:after="120" w:line="264" w:lineRule="auto"/>
        <w:ind w:firstLine="720"/>
        <w:jc w:val="both"/>
        <w:rPr>
          <w:lang w:val="af-ZA"/>
        </w:rPr>
      </w:pPr>
      <w:r w:rsidRPr="00C62BC1">
        <w:rPr>
          <w:lang w:val="af-ZA"/>
        </w:rPr>
        <w:t>Vốn đầu tư thực hiện từ nguồn ngân sách Nhà nước tháng Mười Một ước đạt 97,5 nghìn tỷ đồng, tăng 21,5% so với cùng kỳ năm trước, bao gồm: Vốn Trung ương quản lý đạt 13,2 nghìn tỷ đồng, tăng 8,1%; vốn địa phương quản lý 84,3 nghìn tỷ đồng, tăng 23,9%. Tính chung mười một tháng năm 2025, vốn đầu tư thực hiện từ nguồn ngân sách Nhà nước ước đạt 736,4 nghìn tỷ đồng, bằng 72,2% kế hoạch năm và tăng 26,8% so với cùng kỳ năm trước (cùng kỳ năm 2024 bằng 74,3% và tăng 3,9%). Cụ thể:</w:t>
      </w:r>
    </w:p>
    <w:p w14:paraId="6E5041A2" w14:textId="77777777" w:rsidR="00E17CFD" w:rsidRPr="00C62BC1" w:rsidRDefault="00E17CFD" w:rsidP="006A050D">
      <w:pPr>
        <w:spacing w:after="120" w:line="264" w:lineRule="auto"/>
        <w:ind w:firstLine="720"/>
        <w:jc w:val="both"/>
        <w:rPr>
          <w:spacing w:val="-4"/>
          <w:lang w:val="af-ZA"/>
        </w:rPr>
      </w:pPr>
      <w:r w:rsidRPr="00C62BC1">
        <w:rPr>
          <w:bCs/>
          <w:iCs/>
          <w:spacing w:val="-4"/>
          <w:lang w:val="af-ZA"/>
        </w:rPr>
        <w:t xml:space="preserve">- </w:t>
      </w:r>
      <w:r w:rsidRPr="00C62BC1">
        <w:rPr>
          <w:spacing w:val="-4"/>
          <w:lang w:val="af-ZA"/>
        </w:rPr>
        <w:t xml:space="preserve">Vốn đầu tư thực hiện do Trung ương quản lý ước đạt 102,6 nghìn tỷ đồng, bằng 69,7% kế hoạch năm và tăng 5,1% so với cùng kỳ năm trước. Trong đó, Bộ Xây dựng đạt gần 62,0 nghìn tỷ đồng, giảm 0,5%; Bộ Nông nghiệp và Môi trường đạt gần 15 nghìn tỷ đồng, tăng 58,9%; Bộ Y tế đạt 3,1 nghìn tỷ đồng, gấp hơn 2,9 lần; Bộ Giáo dục và Đào tạo đạt 1,7 nghìn tỷ đồng, tăng 73,3%; Bộ Văn hóa, Thể thao và Du lịch đạt 1,0 nghìn tỷ đồng, tăng 64,5%; Bộ Khoa học và Công nghệ đạt 390,9 tỷ đồng, giảm 24,0 %; Bộ Công Thương đạt 229,4 tỷ đồng, giảm 55,8%. </w:t>
      </w:r>
    </w:p>
    <w:p w14:paraId="17F2E87A" w14:textId="2544062C" w:rsidR="00E17CFD" w:rsidRPr="00C62BC1" w:rsidRDefault="00E17CFD" w:rsidP="00C62BC1">
      <w:pPr>
        <w:spacing w:after="120" w:line="252" w:lineRule="auto"/>
        <w:ind w:firstLine="720"/>
        <w:jc w:val="both"/>
        <w:rPr>
          <w:bCs/>
          <w:iCs/>
          <w:lang w:val="af-ZA"/>
        </w:rPr>
      </w:pPr>
      <w:r w:rsidRPr="00C62BC1">
        <w:rPr>
          <w:bCs/>
          <w:iCs/>
          <w:lang w:val="af-ZA"/>
        </w:rPr>
        <w:lastRenderedPageBreak/>
        <w:t>- Vốn đầu tư thực hiện do địa phương quản lý ước đạt 633,</w:t>
      </w:r>
      <w:r w:rsidR="00FD1239" w:rsidRPr="00C62BC1">
        <w:rPr>
          <w:bCs/>
          <w:iCs/>
          <w:lang w:val="af-ZA"/>
        </w:rPr>
        <w:t xml:space="preserve">8 </w:t>
      </w:r>
      <w:r w:rsidRPr="00C62BC1">
        <w:rPr>
          <w:bCs/>
          <w:iCs/>
          <w:lang w:val="af-ZA"/>
        </w:rPr>
        <w:t>nghìn tỷ đồng, bằng 72,6% kế hoạch năm và tăng 31,1% so với cùng kỳ năm trước, trong đó:</w:t>
      </w:r>
    </w:p>
    <w:p w14:paraId="5CCD5747" w14:textId="77777777" w:rsidR="00E17CFD" w:rsidRPr="00C62BC1" w:rsidRDefault="00E17CFD" w:rsidP="00C62BC1">
      <w:pPr>
        <w:spacing w:after="120" w:line="252" w:lineRule="auto"/>
        <w:ind w:firstLine="720"/>
        <w:jc w:val="both"/>
        <w:rPr>
          <w:bCs/>
          <w:iCs/>
          <w:lang w:val="af-ZA"/>
        </w:rPr>
      </w:pPr>
      <w:r w:rsidRPr="00C62BC1">
        <w:rPr>
          <w:bCs/>
          <w:iCs/>
          <w:lang w:val="af-ZA"/>
        </w:rPr>
        <w:t>Vốn ngân sách Nhà nước cấp tỉnh đạt 519,1 nghìn tỷ đồng, bằng 72,0% và tăng 36,9% so với cùng kỳ năm 2024;</w:t>
      </w:r>
    </w:p>
    <w:p w14:paraId="4C9A1928" w14:textId="4A39482C" w:rsidR="00E17CFD" w:rsidRPr="00C62BC1" w:rsidRDefault="00E17CFD" w:rsidP="00C62BC1">
      <w:pPr>
        <w:pStyle w:val="ListParagraph"/>
        <w:spacing w:after="120" w:line="252" w:lineRule="auto"/>
        <w:ind w:left="0" w:firstLine="720"/>
        <w:contextualSpacing w:val="0"/>
        <w:jc w:val="both"/>
        <w:rPr>
          <w:rFonts w:eastAsia="Times New Roman"/>
          <w:bCs/>
          <w:iCs/>
          <w:lang w:val="af-ZA"/>
        </w:rPr>
      </w:pPr>
      <w:r w:rsidRPr="00C62BC1">
        <w:rPr>
          <w:rFonts w:eastAsia="Times New Roman"/>
          <w:bCs/>
          <w:iCs/>
          <w:lang w:val="af-ZA"/>
        </w:rPr>
        <w:t>Vốn ngân sách Nhà nước cấp xã đạt gần 114,7 nghìn tỷ đồng, bằng 75,5% và tăng 10,3%.</w:t>
      </w:r>
    </w:p>
    <w:p w14:paraId="4EC3EF9E" w14:textId="77777777" w:rsidR="00E17CFD" w:rsidRPr="00C62BC1" w:rsidRDefault="00E17CFD" w:rsidP="00C62BC1">
      <w:pPr>
        <w:spacing w:after="120" w:line="252" w:lineRule="auto"/>
        <w:ind w:firstLine="720"/>
        <w:jc w:val="both"/>
        <w:rPr>
          <w:rFonts w:ascii="Arial" w:hAnsi="Arial" w:cs="Arial"/>
          <w:b/>
          <w:bCs/>
          <w:sz w:val="24"/>
          <w:szCs w:val="24"/>
          <w:lang w:val="af-ZA"/>
        </w:rPr>
      </w:pPr>
      <w:r w:rsidRPr="00C62BC1">
        <w:rPr>
          <w:bCs/>
          <w:iCs/>
          <w:lang w:val="af-ZA"/>
        </w:rPr>
        <w:t>Vốn đầu tư thực hiện từ nguồn ngân sách Nhà nước mười một tháng năm 2025 của một số tỉnh, thành phố trực thuộc Trung ương như sau:</w:t>
      </w:r>
    </w:p>
    <w:p w14:paraId="4DCC634E" w14:textId="12929A80" w:rsidR="00E17CFD" w:rsidRPr="00C62BC1" w:rsidRDefault="00E17CFD" w:rsidP="00E17CFD">
      <w:pPr>
        <w:spacing w:line="276" w:lineRule="auto"/>
        <w:jc w:val="center"/>
        <w:rPr>
          <w:rFonts w:ascii="Arial" w:hAnsi="Arial" w:cs="Arial"/>
          <w:b/>
          <w:bCs/>
          <w:sz w:val="24"/>
          <w:szCs w:val="24"/>
          <w:lang w:val="af-ZA"/>
        </w:rPr>
      </w:pPr>
      <w:r w:rsidRPr="00C62BC1">
        <w:rPr>
          <w:rFonts w:ascii="Arial" w:hAnsi="Arial" w:cs="Arial"/>
          <w:b/>
          <w:bCs/>
          <w:sz w:val="24"/>
          <w:szCs w:val="24"/>
          <w:lang w:val="af-ZA"/>
        </w:rPr>
        <w:t xml:space="preserve">Hình 6. Vốn đầu tư thực hiện từ nguồn ngân sách Nhà nước </w:t>
      </w:r>
    </w:p>
    <w:p w14:paraId="350A782F" w14:textId="77777777" w:rsidR="00E17CFD" w:rsidRPr="00C62BC1" w:rsidRDefault="00E17CFD" w:rsidP="00E17CFD">
      <w:pPr>
        <w:spacing w:line="276" w:lineRule="auto"/>
        <w:jc w:val="center"/>
        <w:rPr>
          <w:rFonts w:ascii="Arial" w:hAnsi="Arial" w:cs="Arial"/>
          <w:b/>
          <w:bCs/>
          <w:sz w:val="24"/>
          <w:szCs w:val="24"/>
          <w:lang w:val="af-ZA"/>
        </w:rPr>
      </w:pPr>
      <w:r w:rsidRPr="00C62BC1">
        <w:rPr>
          <w:rFonts w:ascii="Arial" w:hAnsi="Arial" w:cs="Arial"/>
          <w:b/>
          <w:bCs/>
          <w:sz w:val="24"/>
          <w:szCs w:val="24"/>
          <w:lang w:val="af-ZA"/>
        </w:rPr>
        <w:t>mười một tháng năm 2024-2025 của một số địa phương</w:t>
      </w:r>
    </w:p>
    <w:p w14:paraId="6DB17C89" w14:textId="77777777" w:rsidR="00E17CFD" w:rsidRPr="00C62BC1" w:rsidRDefault="00E17CFD" w:rsidP="00E17CFD">
      <w:pPr>
        <w:spacing w:line="276" w:lineRule="auto"/>
        <w:jc w:val="center"/>
        <w:rPr>
          <w:rFonts w:ascii="Arial" w:hAnsi="Arial" w:cs="Arial"/>
          <w:b/>
          <w:bCs/>
          <w:sz w:val="24"/>
          <w:szCs w:val="24"/>
          <w:lang w:val="af-ZA"/>
        </w:rPr>
      </w:pPr>
      <w:r w:rsidRPr="00C62BC1">
        <w:rPr>
          <w:noProof/>
          <w14:ligatures w14:val="standardContextual"/>
        </w:rPr>
        <w:drawing>
          <wp:inline distT="0" distB="0" distL="0" distR="0" wp14:anchorId="009ECB08" wp14:editId="1E6BAB38">
            <wp:extent cx="6057900" cy="2819400"/>
            <wp:effectExtent l="0" t="0" r="0" b="0"/>
            <wp:docPr id="1204111264" name="Chart 1">
              <a:extLst xmlns:a="http://schemas.openxmlformats.org/drawingml/2006/main">
                <a:ext uri="{FF2B5EF4-FFF2-40B4-BE49-F238E27FC236}">
                  <a16:creationId xmlns:a16="http://schemas.microsoft.com/office/drawing/2014/main" id="{EE42F345-6161-4C82-9435-1CFA3A5BC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464F721" w14:textId="77777777" w:rsidR="00363493" w:rsidRPr="00C62BC1" w:rsidRDefault="00363493" w:rsidP="00C62BC1">
      <w:pPr>
        <w:spacing w:after="120" w:line="252" w:lineRule="auto"/>
        <w:ind w:firstLine="720"/>
        <w:jc w:val="both"/>
        <w:rPr>
          <w:iCs/>
          <w:lang w:val="de-DE"/>
        </w:rPr>
      </w:pPr>
      <w:r w:rsidRPr="00C62BC1">
        <w:rPr>
          <w:i/>
          <w:iCs/>
          <w:lang w:val="de-DE"/>
        </w:rPr>
        <w:t>Tổng vốn đầu tư nước ngoài đăng ký vào Việt Nam</w:t>
      </w:r>
      <w:r w:rsidRPr="00C62BC1">
        <w:rPr>
          <w:i/>
          <w:iCs/>
          <w:vertAlign w:val="superscript"/>
          <w:lang w:val="de-DE"/>
        </w:rPr>
        <w:footnoteReference w:id="13"/>
      </w:r>
      <w:r w:rsidRPr="00C62BC1">
        <w:rPr>
          <w:i/>
          <w:iCs/>
          <w:lang w:val="de-DE"/>
        </w:rPr>
        <w:t xml:space="preserve"> </w:t>
      </w:r>
      <w:r w:rsidRPr="00C62BC1">
        <w:rPr>
          <w:iCs/>
          <w:lang w:val="de-DE"/>
        </w:rPr>
        <w:t>tính đến ngày 30/11/2025 bao gồm: Vốn đăng ký cấp mới, vốn đăng ký điều chỉnh và giá trị góp vốn, mua cổ phần của nhà đầu tư nước ngoài đạt 33,69 tỷ USD, tăng 7,4% so với cùng kỳ năm trước.</w:t>
      </w:r>
    </w:p>
    <w:p w14:paraId="70697A50" w14:textId="77777777" w:rsidR="00363493" w:rsidRPr="00C62BC1" w:rsidRDefault="00363493" w:rsidP="00363493">
      <w:pPr>
        <w:jc w:val="center"/>
        <w:rPr>
          <w:rFonts w:ascii="Arial" w:hAnsi="Arial" w:cs="Arial"/>
          <w:b/>
          <w:bCs/>
          <w:sz w:val="24"/>
          <w:szCs w:val="24"/>
          <w:lang w:val="de-DE"/>
        </w:rPr>
      </w:pPr>
      <w:r w:rsidRPr="00C62BC1">
        <w:rPr>
          <w:rFonts w:ascii="Arial" w:hAnsi="Arial" w:cs="Arial"/>
          <w:b/>
          <w:bCs/>
          <w:sz w:val="24"/>
          <w:szCs w:val="24"/>
          <w:lang w:val="de-DE"/>
        </w:rPr>
        <w:t>Hình 7. Vốn đầu tư nước ngoài đăng ký vào Việt Nam</w:t>
      </w:r>
    </w:p>
    <w:p w14:paraId="19863A4A" w14:textId="77777777" w:rsidR="00363493" w:rsidRPr="00C62BC1" w:rsidRDefault="00363493" w:rsidP="00363493">
      <w:pPr>
        <w:jc w:val="center"/>
        <w:rPr>
          <w:noProof/>
          <w:lang w:val="de-DE"/>
        </w:rPr>
      </w:pPr>
      <w:r w:rsidRPr="00C62BC1">
        <w:rPr>
          <w:rFonts w:ascii="Arial" w:hAnsi="Arial" w:cs="Arial"/>
          <w:b/>
          <w:bCs/>
          <w:sz w:val="24"/>
          <w:szCs w:val="24"/>
          <w:lang w:val="de-DE"/>
        </w:rPr>
        <w:t>mười một tháng các năm 2021-2025 (Tỷ USD)</w:t>
      </w:r>
      <w:r w:rsidRPr="00C62BC1">
        <w:rPr>
          <w:noProof/>
          <w:lang w:val="de-DE"/>
        </w:rPr>
        <w:t xml:space="preserve"> </w:t>
      </w:r>
    </w:p>
    <w:p w14:paraId="1B94990C" w14:textId="77777777" w:rsidR="00363493" w:rsidRPr="00C62BC1" w:rsidRDefault="00363493" w:rsidP="00363493">
      <w:pPr>
        <w:jc w:val="center"/>
        <w:rPr>
          <w:noProof/>
          <w:lang w:val="de-DE"/>
        </w:rPr>
      </w:pPr>
      <w:r w:rsidRPr="00C62BC1">
        <w:rPr>
          <w:noProof/>
          <w14:ligatures w14:val="standardContextual"/>
        </w:rPr>
        <w:drawing>
          <wp:inline distT="0" distB="0" distL="0" distR="0" wp14:anchorId="6566F949" wp14:editId="78A220CD">
            <wp:extent cx="5286375" cy="2229766"/>
            <wp:effectExtent l="0" t="0" r="9525" b="18415"/>
            <wp:docPr id="1765361768" name="Chart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2601D8B" w14:textId="555782BC" w:rsidR="00363493" w:rsidRPr="00C62BC1" w:rsidRDefault="00363493" w:rsidP="00C62BC1">
      <w:pPr>
        <w:spacing w:after="120" w:line="264" w:lineRule="auto"/>
        <w:ind w:firstLine="720"/>
        <w:jc w:val="both"/>
        <w:rPr>
          <w:iCs/>
          <w:spacing w:val="-2"/>
          <w:lang w:val="de-DE"/>
        </w:rPr>
      </w:pPr>
      <w:r w:rsidRPr="00C62BC1">
        <w:rPr>
          <w:iCs/>
          <w:spacing w:val="-2"/>
          <w:lang w:val="de-DE"/>
        </w:rPr>
        <w:lastRenderedPageBreak/>
        <w:t>- Vốn đăng ký cấp mới có 3.695 dự án được cấp phép với số vốn đăng ký đạt 15,9</w:t>
      </w:r>
      <w:r w:rsidR="006A050D" w:rsidRPr="00C62BC1">
        <w:rPr>
          <w:iCs/>
          <w:spacing w:val="-2"/>
          <w:lang w:val="de-DE"/>
        </w:rPr>
        <w:t>6</w:t>
      </w:r>
      <w:r w:rsidRPr="00C62BC1">
        <w:rPr>
          <w:iCs/>
          <w:spacing w:val="-2"/>
          <w:lang w:val="de-DE"/>
        </w:rPr>
        <w:t xml:space="preserve"> tỷ USD, tăng 21,7% so với cùng kỳ năm trước về số dự án và giảm 8,2% về số vốn đăng ký. Trong đó, ngành công nghiệp chế biến, chế tạo được cấp phép mới đầu tư trực tiếp nước ngoài lớn nhất với số vốn đăng ký đạt 9,17 tỷ USD, chiếm 57,5% tổng vốn đăng ký cấp mới; hoạt động kinh doanh bất động sản đạt 3,14 tỷ USD, chiếm 19,7%; các ngành còn lại đạt 3,65 tỷ USD, chiếm 22,8%.</w:t>
      </w:r>
    </w:p>
    <w:p w14:paraId="4C5A47AB" w14:textId="77777777" w:rsidR="00363493" w:rsidRPr="00C62BC1" w:rsidRDefault="00363493" w:rsidP="00C62BC1">
      <w:pPr>
        <w:spacing w:after="120" w:line="264" w:lineRule="auto"/>
        <w:ind w:firstLine="720"/>
        <w:jc w:val="both"/>
        <w:rPr>
          <w:iCs/>
          <w:lang w:val="de-DE"/>
        </w:rPr>
      </w:pPr>
      <w:r w:rsidRPr="00C62BC1">
        <w:rPr>
          <w:iCs/>
          <w:lang w:val="de-DE"/>
        </w:rPr>
        <w:t>Trong số 88 quốc gia và vùng lãnh thổ có dự án đầu tư được cấp phép mới tại Việt Nam trong mười một tháng năm 2025, Xin-ga-po là nhà đầu tư lớn nhất với 4,29 tỷ USD, chiếm 26,9% tổng vốn đăng ký cấp mới; tiếp đến là Trung Quốc 3,40 tỷ USD, chiếm 21,3%; Đặc khu hành chính Hồng Công (Trung Quốc) 1,66 tỷ USD, chiếm 10,4%; Nhật Bản 1,56 tỷ USD, chiếm 9,8%; Thụy Điển 1,0 tỷ USD, chiếm 6,3%; Đài Loan 951,1 triệu USD, chiếm 6,0%; Hàn Quốc 659,6 triệu USD, chiếm 4,1%.</w:t>
      </w:r>
    </w:p>
    <w:p w14:paraId="3E7C53B9" w14:textId="77777777" w:rsidR="00363493" w:rsidRPr="00C62BC1" w:rsidRDefault="00363493" w:rsidP="00C62BC1">
      <w:pPr>
        <w:spacing w:after="120" w:line="264" w:lineRule="auto"/>
        <w:ind w:firstLine="720"/>
        <w:jc w:val="both"/>
        <w:rPr>
          <w:iCs/>
          <w:lang w:val="de-DE"/>
        </w:rPr>
      </w:pPr>
      <w:r w:rsidRPr="00C62BC1">
        <w:rPr>
          <w:iCs/>
          <w:lang w:val="de-DE"/>
        </w:rPr>
        <w:t>- Vốn đăng ký điều chỉnh có 1.318 lượt dự án đã cấp phép từ các năm trước đăng ký điều chỉnh vốn đầu tư tăng thêm 11,62 tỷ USD, tăng 17,0% so với cùng kỳ năm trước.</w:t>
      </w:r>
    </w:p>
    <w:p w14:paraId="42A4A990" w14:textId="77777777" w:rsidR="00363493" w:rsidRPr="00C62BC1" w:rsidRDefault="00363493" w:rsidP="00C62BC1">
      <w:pPr>
        <w:spacing w:after="120" w:line="264" w:lineRule="auto"/>
        <w:ind w:firstLine="720"/>
        <w:jc w:val="both"/>
        <w:rPr>
          <w:lang w:val="de-DE"/>
        </w:rPr>
      </w:pPr>
      <w:r w:rsidRPr="00C62BC1">
        <w:rPr>
          <w:iCs/>
          <w:lang w:val="de-DE"/>
        </w:rPr>
        <w:t>Nếu tính cả vốn đăng ký mới và vốn đăng ký điều chỉnh của các dự án đã cấp phép từ các năm trước thì vốn đầu tư trực tiếp nước ngoài đăng ký vào ngành công nghiệp chế biến, chế tạo đạt 16,52 tỷ USD, chiếm 59,9% tổng vốn đăng ký cấp mới và tăng thêm; hoạt động kinh doanh bất động sản đạt 5,72 tỷ USD, chiếm 20,7%; các ngành còn lại đạt 5,34 tỷ USD, chiếm 19,4%.</w:t>
      </w:r>
    </w:p>
    <w:p w14:paraId="4209CC7C" w14:textId="086C498A" w:rsidR="00363493" w:rsidRPr="00C62BC1" w:rsidRDefault="00363493" w:rsidP="00C62BC1">
      <w:pPr>
        <w:spacing w:after="120" w:line="264" w:lineRule="auto"/>
        <w:ind w:firstLine="720"/>
        <w:jc w:val="both"/>
        <w:rPr>
          <w:iCs/>
          <w:lang w:val="de-DE"/>
        </w:rPr>
      </w:pPr>
      <w:r w:rsidRPr="00C62BC1">
        <w:rPr>
          <w:iCs/>
          <w:lang w:val="de-DE"/>
        </w:rPr>
        <w:t>- Vốn đăng ký góp vốn, mua cổ phần của nhà đầu tư nước ngoài có 3.225 lượt với tổng giá trị góp vốn 6,1</w:t>
      </w:r>
      <w:r w:rsidR="00FD1239" w:rsidRPr="00C62BC1">
        <w:rPr>
          <w:iCs/>
          <w:lang w:val="de-DE"/>
        </w:rPr>
        <w:t>1</w:t>
      </w:r>
      <w:r w:rsidRPr="00C62BC1">
        <w:rPr>
          <w:iCs/>
          <w:lang w:val="de-DE"/>
        </w:rPr>
        <w:t xml:space="preserve"> tỷ USD, tăng 50,7% so với cùng kỳ năm trước. </w:t>
      </w:r>
      <w:r w:rsidR="00FD1239" w:rsidRPr="00C62BC1">
        <w:rPr>
          <w:iCs/>
          <w:lang w:val="de-DE"/>
        </w:rPr>
        <w:t xml:space="preserve">Trong đó, có 1.238 lượt góp vốn, mua cổ phần làm tăng vốn điều lệ của doanh nghiệp với giá trị góp vốn là 2,37 tỷ USD và 1.987 lượt nhà đầu tư nước ngoài mua lại cổ phần trong nước mà không làm tăng vốn điều lệ với giá trị 3,74 tỷ USD. </w:t>
      </w:r>
      <w:r w:rsidRPr="00C62BC1">
        <w:rPr>
          <w:iCs/>
          <w:lang w:val="de-DE"/>
        </w:rPr>
        <w:t>Đối với hình thức góp vốn, mua cổ phần của nhà đầu tư nước ngoài, vốn đầu tư vào công nghiệp chế biến, chế tạo đạt 2,0 tỷ USD, chiếm 32,7% giá trị góp vốn; hoạt động chuyên môn, khoa học công nghệ đạt 1,13 tỷ USD, chiếm 18,5%; ngành còn lại 2,99 tỷ USD, chiếm 48,8%.</w:t>
      </w:r>
    </w:p>
    <w:p w14:paraId="0CF67C5A" w14:textId="77777777" w:rsidR="00363493" w:rsidRPr="00C62BC1" w:rsidRDefault="00363493" w:rsidP="00C62BC1">
      <w:pPr>
        <w:spacing w:after="120" w:line="264" w:lineRule="auto"/>
        <w:ind w:firstLine="720"/>
        <w:jc w:val="both"/>
        <w:rPr>
          <w:b/>
          <w:bCs/>
          <w:iCs/>
          <w:lang w:val="de-DE"/>
        </w:rPr>
      </w:pPr>
      <w:r w:rsidRPr="00C62BC1">
        <w:rPr>
          <w:i/>
          <w:iCs/>
          <w:lang w:val="de-DE"/>
        </w:rPr>
        <w:t xml:space="preserve">Vốn đầu tư trực tiếp nước ngoài thực hiện tại Việt Nam </w:t>
      </w:r>
      <w:r w:rsidRPr="00C62BC1">
        <w:rPr>
          <w:iCs/>
          <w:lang w:val="de-DE"/>
        </w:rPr>
        <w:t>mười một tháng năm 2025 ước đạt 23,6 tỷ USD, tăng 8,9% so với cùng kỳ năm trước. Đây là số vốn đầu tư trực tiếp nước ngoài thực hiện cao nhất của mười tháng trong 5 năm qua. Trong đó: Công nghiệp chế biến, chế tạo đạt 19,56 tỷ USD, chiếm 82,9% tổng vốn đầu tư trực tiếp nước ngoài thực hiện; hoạt động kinh doanh bất động sản đạt 1,67 tỷ USD, chiếm 7,1%; sản xuất, phân phối điện, khí đốt, nước nóng, hơi nước và điều hòa không khí đạt 754,9 triệu USD, chiếm 3,2%.</w:t>
      </w:r>
    </w:p>
    <w:p w14:paraId="25141A15" w14:textId="77777777" w:rsidR="00C62BC1" w:rsidRDefault="00C62BC1" w:rsidP="00363493">
      <w:pPr>
        <w:spacing w:after="120" w:line="252" w:lineRule="auto"/>
        <w:jc w:val="center"/>
        <w:rPr>
          <w:rFonts w:ascii="Arial" w:hAnsi="Arial" w:cs="Arial"/>
          <w:b/>
          <w:bCs/>
          <w:iCs/>
          <w:sz w:val="24"/>
          <w:szCs w:val="24"/>
          <w:lang w:val="de-DE"/>
        </w:rPr>
      </w:pPr>
    </w:p>
    <w:p w14:paraId="04F1F152" w14:textId="1B9E5AF5" w:rsidR="00363493" w:rsidRPr="00C62BC1" w:rsidRDefault="00363493" w:rsidP="00363493">
      <w:pPr>
        <w:spacing w:after="120" w:line="252" w:lineRule="auto"/>
        <w:jc w:val="center"/>
        <w:rPr>
          <w:rFonts w:ascii="Arial" w:hAnsi="Arial" w:cs="Arial"/>
          <w:b/>
          <w:bCs/>
          <w:iCs/>
          <w:sz w:val="24"/>
          <w:szCs w:val="24"/>
          <w:lang w:val="de-DE"/>
        </w:rPr>
      </w:pPr>
      <w:r w:rsidRPr="00C62BC1">
        <w:rPr>
          <w:rFonts w:ascii="Arial" w:hAnsi="Arial" w:cs="Arial"/>
          <w:b/>
          <w:bCs/>
          <w:iCs/>
          <w:sz w:val="24"/>
          <w:szCs w:val="24"/>
          <w:lang w:val="de-DE"/>
        </w:rPr>
        <w:lastRenderedPageBreak/>
        <w:t>Hình 8. Vốn đầu tư trực tiếp nước ngoài thực hiện</w:t>
      </w:r>
      <w:r w:rsidRPr="00C62BC1">
        <w:rPr>
          <w:rFonts w:ascii="Arial" w:hAnsi="Arial" w:cs="Arial"/>
          <w:b/>
          <w:bCs/>
          <w:iCs/>
          <w:sz w:val="24"/>
          <w:szCs w:val="24"/>
          <w:lang w:val="de-DE"/>
        </w:rPr>
        <w:br/>
        <w:t>mười một tháng các năm 2021-2025 (Tỷ USD)</w:t>
      </w:r>
    </w:p>
    <w:p w14:paraId="50C382B2" w14:textId="77777777" w:rsidR="00363493" w:rsidRPr="00C62BC1" w:rsidRDefault="00363493" w:rsidP="00363493">
      <w:pPr>
        <w:spacing w:after="120" w:line="252" w:lineRule="auto"/>
        <w:jc w:val="center"/>
        <w:rPr>
          <w:rFonts w:ascii="Arial" w:hAnsi="Arial" w:cs="Arial"/>
          <w:b/>
          <w:bCs/>
          <w:iCs/>
          <w:sz w:val="24"/>
          <w:szCs w:val="24"/>
          <w:lang w:val="de-DE"/>
        </w:rPr>
      </w:pPr>
      <w:r w:rsidRPr="00C62BC1">
        <w:rPr>
          <w:noProof/>
          <w14:ligatures w14:val="standardContextual"/>
        </w:rPr>
        <w:drawing>
          <wp:inline distT="0" distB="0" distL="0" distR="0" wp14:anchorId="66AB6F9B" wp14:editId="0E1FA3AB">
            <wp:extent cx="4572000" cy="1491401"/>
            <wp:effectExtent l="0" t="0" r="0" b="13970"/>
            <wp:docPr id="934715564"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764894F" w14:textId="44E89E18" w:rsidR="00363493" w:rsidRPr="00C62BC1" w:rsidRDefault="00363493" w:rsidP="00C62BC1">
      <w:pPr>
        <w:spacing w:after="120" w:line="252" w:lineRule="auto"/>
        <w:ind w:firstLine="720"/>
        <w:jc w:val="both"/>
        <w:rPr>
          <w:i/>
          <w:iCs/>
          <w:lang w:val="de-DE"/>
        </w:rPr>
      </w:pPr>
      <w:r w:rsidRPr="00C62BC1">
        <w:rPr>
          <w:i/>
          <w:iCs/>
          <w:lang w:val="de-DE"/>
        </w:rPr>
        <w:t>Đầu tư của Việt Nam ra nước ngoài</w:t>
      </w:r>
      <w:r w:rsidRPr="00C62BC1">
        <w:rPr>
          <w:iCs/>
          <w:lang w:val="de-DE"/>
        </w:rPr>
        <w:t xml:space="preserve"> trong mười một tháng năm 2025 có 148 dự án được cấp mới giấy chứng nhận đầu tư với tổng số vốn của phía Việt Nam là 742,8 triệu USD, tăng 33,8% so với cùng kỳ năm trước; có 28 lượt dự án điều chỉnh vốn với số vốn điều chỉnh tăng 358,2 triệu USD, gấp 8,</w:t>
      </w:r>
      <w:r w:rsidR="00FD1239" w:rsidRPr="00C62BC1">
        <w:rPr>
          <w:iCs/>
          <w:lang w:val="de-DE"/>
        </w:rPr>
        <w:t>2</w:t>
      </w:r>
      <w:r w:rsidRPr="00C62BC1">
        <w:rPr>
          <w:iCs/>
          <w:lang w:val="de-DE"/>
        </w:rPr>
        <w:t xml:space="preserve"> lần.</w:t>
      </w:r>
    </w:p>
    <w:p w14:paraId="06F46A74" w14:textId="77777777" w:rsidR="00363493" w:rsidRPr="00C62BC1" w:rsidRDefault="00363493" w:rsidP="00C62BC1">
      <w:pPr>
        <w:spacing w:after="120" w:line="252" w:lineRule="auto"/>
        <w:ind w:firstLine="720"/>
        <w:jc w:val="both"/>
        <w:rPr>
          <w:iCs/>
          <w:lang w:val="de-DE"/>
        </w:rPr>
      </w:pPr>
      <w:r w:rsidRPr="00C62BC1">
        <w:rPr>
          <w:iCs/>
          <w:lang w:val="de-DE"/>
        </w:rPr>
        <w:t xml:space="preserve">Tính chung tổng vốn đầu tư của Việt Nam ra nước ngoài (vốn cấp mới và điều chỉnh) đạt 1,1 tỷ USD, tăng 83,9% so với cùng kỳ năm trước. Trong đó: Sản xuất, phân phối điện, khí đốt, nước nóng, hơi nước và điều hòa không khí đạt 342,5 triệu USD, chiếm 31,1% tổng vốn đầu tư; công nghiệp chế biến, chế tạo đạt 277,6 triệu USD, chiếm 25,2%; bán buôn và bán lẻ, sửa chữa ô tô, mô tô, xe máy và xe có động cơ khác đạt 129,6 triệu USD; chiếm 11,8%. </w:t>
      </w:r>
    </w:p>
    <w:p w14:paraId="69A493F1" w14:textId="77777777" w:rsidR="00363493" w:rsidRPr="00C62BC1" w:rsidRDefault="00363493" w:rsidP="00C62BC1">
      <w:pPr>
        <w:spacing w:after="120" w:line="252" w:lineRule="auto"/>
        <w:ind w:firstLine="720"/>
        <w:jc w:val="both"/>
        <w:rPr>
          <w:b/>
          <w:bCs/>
          <w:lang w:val="de-DE"/>
        </w:rPr>
      </w:pPr>
      <w:r w:rsidRPr="00C62BC1">
        <w:rPr>
          <w:iCs/>
          <w:spacing w:val="-2"/>
          <w:lang w:val="de-DE"/>
        </w:rPr>
        <w:t>Trong mười một tháng năm 2025, có 36 quốc gia và vùng lãnh thổ nhận đầu tư của Việt Nam, trong đó: Lào là nước dẫn đầu với 590,3 triệu USD, chiếm 53,6% tổng vốn đầu tư; Phi-li-pin 92,0 triệu USD, chiếm 8,4%; Đức 78,1 triệu USD, chiếm 7,1%; In-đô-nê-xi-a 69,6 triệu USD, chiếm 6,3%; Hoa Kỳ 33,9 triệu USD, chiếm 3,1%.</w:t>
      </w:r>
    </w:p>
    <w:p w14:paraId="777B8661" w14:textId="5F782A56" w:rsidR="00E17CFD" w:rsidRPr="00C62BC1" w:rsidRDefault="007E11F1" w:rsidP="00C62BC1">
      <w:pPr>
        <w:spacing w:after="120" w:line="252" w:lineRule="auto"/>
        <w:ind w:firstLine="720"/>
        <w:jc w:val="both"/>
        <w:rPr>
          <w:b/>
          <w:bCs/>
          <w:lang w:val="vi-VN"/>
        </w:rPr>
      </w:pPr>
      <w:r w:rsidRPr="00C62BC1">
        <w:rPr>
          <w:b/>
          <w:bCs/>
          <w:lang w:val="af-ZA"/>
        </w:rPr>
        <w:t xml:space="preserve">5. </w:t>
      </w:r>
      <w:r w:rsidR="00E17CFD" w:rsidRPr="00C62BC1">
        <w:rPr>
          <w:b/>
          <w:bCs/>
          <w:lang w:val="vi-VN"/>
        </w:rPr>
        <w:t>Thu, chi ngân sách Nhà nước</w:t>
      </w:r>
      <w:r w:rsidR="00E17CFD" w:rsidRPr="00C62BC1">
        <w:rPr>
          <w:rStyle w:val="FootnoteReference"/>
          <w:b/>
          <w:lang w:val="vi-VN"/>
        </w:rPr>
        <w:footnoteReference w:id="14"/>
      </w:r>
    </w:p>
    <w:p w14:paraId="58DF2861" w14:textId="3DAD9C87" w:rsidR="00E17CFD" w:rsidRPr="00C62BC1" w:rsidRDefault="00E17CFD" w:rsidP="00C62BC1">
      <w:pPr>
        <w:spacing w:after="120" w:line="252" w:lineRule="auto"/>
        <w:ind w:firstLine="720"/>
        <w:jc w:val="both"/>
        <w:rPr>
          <w:rFonts w:ascii="Times New Roman Italic" w:hAnsi="Times New Roman Italic"/>
          <w:i/>
          <w:spacing w:val="-2"/>
          <w:lang w:val="vi-VN"/>
        </w:rPr>
      </w:pPr>
      <w:r w:rsidRPr="00C62BC1">
        <w:rPr>
          <w:i/>
          <w:spacing w:val="-2"/>
          <w:lang w:val="vi-VN"/>
        </w:rPr>
        <w:t xml:space="preserve">Thu ngân sách Nhà nước mười một tháng năm 2025 tăng 30,9% so với cùng kỳ năm trước. Chi ngân sách Nhà nước tăng </w:t>
      </w:r>
      <w:r w:rsidR="00232E0C" w:rsidRPr="00C62BC1">
        <w:rPr>
          <w:i/>
          <w:spacing w:val="-2"/>
        </w:rPr>
        <w:t>32,5</w:t>
      </w:r>
      <w:r w:rsidRPr="00C62BC1">
        <w:rPr>
          <w:i/>
          <w:spacing w:val="-2"/>
          <w:lang w:val="vi-VN"/>
        </w:rPr>
        <w:t>%, đảm bảo các nhu cầu phát triển kinh tế - xã hội, quốc phòng, an ninh, quản lý nhà nước, thanh toán các khoản nợ đến hạn cũng như chi trả kịp thời cho các đối tượng theo quy định.</w:t>
      </w:r>
    </w:p>
    <w:p w14:paraId="041CF5DF" w14:textId="485AB904" w:rsidR="00E17CFD" w:rsidRPr="00C62BC1" w:rsidRDefault="00E17CFD" w:rsidP="00E17CFD">
      <w:pPr>
        <w:spacing w:before="120" w:after="40" w:line="254" w:lineRule="auto"/>
        <w:ind w:firstLine="567"/>
        <w:jc w:val="center"/>
        <w:rPr>
          <w:rFonts w:ascii="Arial" w:hAnsi="Arial" w:cs="Arial"/>
          <w:b/>
          <w:sz w:val="24"/>
          <w:szCs w:val="24"/>
          <w:lang w:val="vi-VN"/>
        </w:rPr>
      </w:pPr>
      <w:r w:rsidRPr="00C62BC1">
        <w:rPr>
          <w:rFonts w:ascii="Arial" w:hAnsi="Arial" w:cs="Arial"/>
          <w:b/>
          <w:sz w:val="24"/>
          <w:szCs w:val="24"/>
          <w:lang w:val="vi-VN"/>
        </w:rPr>
        <w:t xml:space="preserve">Hình </w:t>
      </w:r>
      <w:r w:rsidR="00594B17" w:rsidRPr="00C62BC1">
        <w:rPr>
          <w:rFonts w:ascii="Arial" w:hAnsi="Arial" w:cs="Arial"/>
          <w:b/>
          <w:sz w:val="24"/>
          <w:szCs w:val="24"/>
        </w:rPr>
        <w:t>9</w:t>
      </w:r>
      <w:r w:rsidRPr="00C62BC1">
        <w:rPr>
          <w:rFonts w:ascii="Arial" w:hAnsi="Arial" w:cs="Arial"/>
          <w:b/>
          <w:sz w:val="24"/>
          <w:szCs w:val="24"/>
          <w:lang w:val="vi-VN"/>
        </w:rPr>
        <w:t>. Thu, chi ngân sách Nhà nước mười một tháng năm 2025</w:t>
      </w:r>
    </w:p>
    <w:p w14:paraId="66111D50" w14:textId="5B789D5A" w:rsidR="00E17CFD" w:rsidRPr="00C62BC1" w:rsidRDefault="00232E0C" w:rsidP="00E17CFD">
      <w:pPr>
        <w:spacing w:before="40" w:after="40" w:line="254" w:lineRule="auto"/>
        <w:jc w:val="center"/>
        <w:rPr>
          <w:rFonts w:ascii="Arial" w:hAnsi="Arial" w:cs="Arial"/>
          <w:i/>
          <w:sz w:val="24"/>
          <w:szCs w:val="24"/>
          <w:lang w:val="nl-NL"/>
        </w:rPr>
      </w:pPr>
      <w:r w:rsidRPr="00C62BC1">
        <w:rPr>
          <w:rFonts w:ascii="Arial" w:hAnsi="Arial" w:cs="Arial"/>
          <w:i/>
          <w:noProof/>
          <w:sz w:val="24"/>
          <w:szCs w:val="24"/>
        </w:rPr>
        <w:drawing>
          <wp:inline distT="0" distB="0" distL="0" distR="0" wp14:anchorId="4499AF2C" wp14:editId="4555A646">
            <wp:extent cx="5697317" cy="1867918"/>
            <wp:effectExtent l="0" t="0" r="0" b="0"/>
            <wp:docPr id="1906023674" name="Picture 1906023674" descr="A balance scale with money and piggy ban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023674" name="Picture 1906023674" descr="A balance scale with money and piggy bank&#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1903" cy="1875979"/>
                    </a:xfrm>
                    <a:prstGeom prst="rect">
                      <a:avLst/>
                    </a:prstGeom>
                  </pic:spPr>
                </pic:pic>
              </a:graphicData>
            </a:graphic>
          </wp:inline>
        </w:drawing>
      </w:r>
    </w:p>
    <w:p w14:paraId="399E73D5" w14:textId="77777777" w:rsidR="00E17CFD" w:rsidRPr="00C62BC1" w:rsidRDefault="00E17CFD" w:rsidP="00C62BC1">
      <w:pPr>
        <w:spacing w:after="120" w:line="276" w:lineRule="auto"/>
        <w:ind w:firstLine="720"/>
        <w:jc w:val="both"/>
        <w:rPr>
          <w:b/>
          <w:i/>
          <w:lang w:val="it-IT"/>
        </w:rPr>
      </w:pPr>
      <w:r w:rsidRPr="00C62BC1">
        <w:rPr>
          <w:b/>
          <w:i/>
          <w:lang w:val="it-IT"/>
        </w:rPr>
        <w:lastRenderedPageBreak/>
        <w:t>Thu ngân sách Nhà nước</w:t>
      </w:r>
    </w:p>
    <w:p w14:paraId="0ECE9031" w14:textId="77777777" w:rsidR="00E17CFD" w:rsidRPr="00C62BC1" w:rsidRDefault="00E17CFD" w:rsidP="00C62BC1">
      <w:pPr>
        <w:spacing w:after="120" w:line="276" w:lineRule="auto"/>
        <w:ind w:firstLine="720"/>
        <w:jc w:val="both"/>
        <w:rPr>
          <w:lang w:val="nl-NL"/>
        </w:rPr>
      </w:pPr>
      <w:r w:rsidRPr="00C62BC1">
        <w:rPr>
          <w:lang w:val="it-IT"/>
        </w:rPr>
        <w:t xml:space="preserve">Tổng thu ngân sách Nhà nước tháng Mười Một ước đạt </w:t>
      </w:r>
      <w:r w:rsidRPr="00C62BC1">
        <w:rPr>
          <w:lang w:val="nl-NL"/>
        </w:rPr>
        <w:t>201,5 nghìn tỷ đồng,</w:t>
      </w:r>
      <w:r w:rsidRPr="00C62BC1">
        <w:rPr>
          <w:lang w:val="it-IT"/>
        </w:rPr>
        <w:t xml:space="preserve"> lũy kế tổng thu ngân sách Nhà nước mười một tháng năm 2025 đạt 2.397,7 nghìn tỷ đồng, bằng 121,9% dự toán năm và tăng 30,9% so với cùng kỳ năm trước</w:t>
      </w:r>
      <w:r w:rsidRPr="00C62BC1">
        <w:rPr>
          <w:rStyle w:val="FootnoteReference"/>
          <w:lang w:val="it-IT"/>
        </w:rPr>
        <w:footnoteReference w:id="15"/>
      </w:r>
      <w:r w:rsidRPr="00C62BC1">
        <w:rPr>
          <w:lang w:val="nl-NL"/>
        </w:rPr>
        <w:t>. Cụ thể một số khoản thu chính như sau:</w:t>
      </w:r>
    </w:p>
    <w:p w14:paraId="257E6B2A" w14:textId="77777777" w:rsidR="00E17CFD" w:rsidRPr="00C62BC1" w:rsidRDefault="00E17CFD" w:rsidP="00C62BC1">
      <w:pPr>
        <w:spacing w:after="120" w:line="276" w:lineRule="auto"/>
        <w:ind w:firstLine="720"/>
        <w:jc w:val="both"/>
        <w:rPr>
          <w:lang w:val="nl-NL"/>
        </w:rPr>
      </w:pPr>
      <w:r w:rsidRPr="00C62BC1">
        <w:rPr>
          <w:lang w:val="nl-NL"/>
        </w:rPr>
        <w:t xml:space="preserve">- </w:t>
      </w:r>
      <w:r w:rsidRPr="00C62BC1">
        <w:rPr>
          <w:i/>
          <w:lang w:val="nl-NL"/>
        </w:rPr>
        <w:t>Thu nội địa</w:t>
      </w:r>
      <w:r w:rsidRPr="00C62BC1">
        <w:rPr>
          <w:lang w:val="nl-NL"/>
        </w:rPr>
        <w:t xml:space="preserve"> tháng </w:t>
      </w:r>
      <w:r w:rsidRPr="00C62BC1">
        <w:rPr>
          <w:lang w:val="it-IT"/>
        </w:rPr>
        <w:t xml:space="preserve">Mười Một </w:t>
      </w:r>
      <w:r w:rsidRPr="00C62BC1">
        <w:rPr>
          <w:lang w:val="nl-NL"/>
        </w:rPr>
        <w:t xml:space="preserve">đạt 171,6 nghìn tỷ đồng. Lũy kế mười một tháng năm 2025 đạt </w:t>
      </w:r>
      <w:r w:rsidRPr="00C62BC1">
        <w:rPr>
          <w:lang w:val="it-IT"/>
        </w:rPr>
        <w:t>2.059,5</w:t>
      </w:r>
      <w:r w:rsidRPr="00C62BC1">
        <w:rPr>
          <w:lang w:val="nl-NL"/>
        </w:rPr>
        <w:t xml:space="preserve"> nghìn tỷ đồng, bằng </w:t>
      </w:r>
      <w:r w:rsidRPr="00C62BC1">
        <w:rPr>
          <w:lang w:val="it-IT"/>
        </w:rPr>
        <w:t>123,4</w:t>
      </w:r>
      <w:r w:rsidRPr="00C62BC1">
        <w:rPr>
          <w:lang w:val="nl-NL"/>
        </w:rPr>
        <w:t>% dự toán năm và tăng 35,2% so với cùng kỳ năm trước</w:t>
      </w:r>
      <w:r w:rsidRPr="00C62BC1">
        <w:rPr>
          <w:rStyle w:val="FootnoteReference"/>
          <w:lang w:val="nl-NL"/>
        </w:rPr>
        <w:footnoteReference w:id="16"/>
      </w:r>
      <w:r w:rsidRPr="00C62BC1">
        <w:rPr>
          <w:lang w:val="nl-NL"/>
        </w:rPr>
        <w:t>;</w:t>
      </w:r>
    </w:p>
    <w:p w14:paraId="7DE1E90B" w14:textId="77777777" w:rsidR="00E17CFD" w:rsidRPr="00C62BC1" w:rsidRDefault="00E17CFD" w:rsidP="00C62BC1">
      <w:pPr>
        <w:spacing w:after="120" w:line="276" w:lineRule="auto"/>
        <w:ind w:firstLine="720"/>
        <w:jc w:val="both"/>
        <w:rPr>
          <w:spacing w:val="-4"/>
          <w:lang w:val="nl-NL"/>
        </w:rPr>
      </w:pPr>
      <w:r w:rsidRPr="00C62BC1">
        <w:rPr>
          <w:spacing w:val="-4"/>
          <w:lang w:val="nl-NL"/>
        </w:rPr>
        <w:t xml:space="preserve">- </w:t>
      </w:r>
      <w:r w:rsidRPr="00C62BC1">
        <w:rPr>
          <w:i/>
          <w:spacing w:val="-4"/>
          <w:lang w:val="nl-NL"/>
        </w:rPr>
        <w:t>Thu từ dầu thô</w:t>
      </w:r>
      <w:r w:rsidRPr="00C62BC1">
        <w:rPr>
          <w:spacing w:val="-4"/>
          <w:lang w:val="nl-NL"/>
        </w:rPr>
        <w:t xml:space="preserve"> tháng </w:t>
      </w:r>
      <w:r w:rsidRPr="00C62BC1">
        <w:rPr>
          <w:spacing w:val="-4"/>
          <w:lang w:val="it-IT"/>
        </w:rPr>
        <w:t xml:space="preserve">Mười Một </w:t>
      </w:r>
      <w:r w:rsidRPr="00C62BC1">
        <w:rPr>
          <w:spacing w:val="-4"/>
          <w:lang w:val="nl-NL"/>
        </w:rPr>
        <w:t xml:space="preserve">đạt gần 3,0 nghìn tỷ đồng; lũy kế mười một tháng năm 2025 đạt 43,7 nghìn tỷ đồng, bằng </w:t>
      </w:r>
      <w:r w:rsidRPr="00C62BC1">
        <w:rPr>
          <w:spacing w:val="-4"/>
          <w:lang w:val="it-IT"/>
        </w:rPr>
        <w:t>82,2</w:t>
      </w:r>
      <w:r w:rsidRPr="00C62BC1">
        <w:rPr>
          <w:spacing w:val="-4"/>
          <w:lang w:val="nl-NL"/>
        </w:rPr>
        <w:t xml:space="preserve">% dự toán năm và giảm 16,7%; </w:t>
      </w:r>
    </w:p>
    <w:p w14:paraId="5EB65370" w14:textId="77777777" w:rsidR="00E17CFD" w:rsidRPr="00C62BC1" w:rsidRDefault="00E17CFD" w:rsidP="00C62BC1">
      <w:pPr>
        <w:spacing w:after="120" w:line="276" w:lineRule="auto"/>
        <w:ind w:firstLine="720"/>
        <w:jc w:val="both"/>
        <w:rPr>
          <w:lang w:val="nl-NL"/>
        </w:rPr>
      </w:pPr>
      <w:r w:rsidRPr="00C62BC1">
        <w:rPr>
          <w:lang w:val="nl-NL"/>
        </w:rPr>
        <w:t xml:space="preserve">- </w:t>
      </w:r>
      <w:r w:rsidRPr="00C62BC1">
        <w:rPr>
          <w:i/>
          <w:lang w:val="nl-NL"/>
        </w:rPr>
        <w:t>Thu cân đối ngân sách</w:t>
      </w:r>
      <w:r w:rsidRPr="00C62BC1">
        <w:rPr>
          <w:lang w:val="nl-NL"/>
        </w:rPr>
        <w:t xml:space="preserve"> </w:t>
      </w:r>
      <w:r w:rsidRPr="00C62BC1">
        <w:rPr>
          <w:i/>
          <w:lang w:val="nl-NL"/>
        </w:rPr>
        <w:t>từ hoạt động xuất, nhập khẩu</w:t>
      </w:r>
      <w:r w:rsidRPr="00C62BC1">
        <w:rPr>
          <w:lang w:val="nl-NL"/>
        </w:rPr>
        <w:t xml:space="preserve"> tháng </w:t>
      </w:r>
      <w:r w:rsidRPr="00C62BC1">
        <w:rPr>
          <w:lang w:val="it-IT"/>
        </w:rPr>
        <w:t>Mười Một</w:t>
      </w:r>
      <w:r w:rsidRPr="00C62BC1" w:rsidDel="00B029BD">
        <w:rPr>
          <w:lang w:val="nl-NL"/>
        </w:rPr>
        <w:t xml:space="preserve"> </w:t>
      </w:r>
      <w:r w:rsidRPr="00C62BC1">
        <w:rPr>
          <w:lang w:val="nl-NL"/>
        </w:rPr>
        <w:t xml:space="preserve">đạt 26,7 nghìn tỷ đồng; lũy kế mười một tháng năm 2025 đạt </w:t>
      </w:r>
      <w:r w:rsidRPr="00C62BC1">
        <w:rPr>
          <w:lang w:val="it-IT"/>
        </w:rPr>
        <w:t>gần 293,0</w:t>
      </w:r>
      <w:r w:rsidRPr="00C62BC1">
        <w:rPr>
          <w:lang w:val="nl-NL"/>
        </w:rPr>
        <w:t xml:space="preserve"> nghìn tỷ đồng, bằng </w:t>
      </w:r>
      <w:r w:rsidRPr="00C62BC1">
        <w:rPr>
          <w:lang w:val="it-IT"/>
        </w:rPr>
        <w:t>124,7</w:t>
      </w:r>
      <w:r w:rsidRPr="00C62BC1">
        <w:rPr>
          <w:lang w:val="nl-NL"/>
        </w:rPr>
        <w:t xml:space="preserve">% dự toán năm và tăng 15,1%. </w:t>
      </w:r>
    </w:p>
    <w:p w14:paraId="13ABE70D" w14:textId="77777777" w:rsidR="00E17CFD" w:rsidRPr="00C62BC1" w:rsidRDefault="00E17CFD" w:rsidP="00C62BC1">
      <w:pPr>
        <w:spacing w:after="120" w:line="276" w:lineRule="auto"/>
        <w:ind w:firstLine="720"/>
        <w:jc w:val="both"/>
        <w:rPr>
          <w:b/>
          <w:i/>
          <w:lang w:val="nl-NL"/>
        </w:rPr>
      </w:pPr>
      <w:r w:rsidRPr="00C62BC1">
        <w:rPr>
          <w:b/>
          <w:i/>
          <w:lang w:val="nl-NL"/>
        </w:rPr>
        <w:t>Chi ngân sách Nhà nước</w:t>
      </w:r>
    </w:p>
    <w:p w14:paraId="44CB9EC3" w14:textId="7503D51B" w:rsidR="00E17CFD" w:rsidRPr="00C62BC1" w:rsidRDefault="00E17CFD" w:rsidP="00C62BC1">
      <w:pPr>
        <w:spacing w:after="120" w:line="276" w:lineRule="auto"/>
        <w:ind w:firstLine="720"/>
        <w:jc w:val="both"/>
        <w:rPr>
          <w:b/>
          <w:bCs/>
          <w:spacing w:val="-2"/>
          <w:lang w:val="nl-NL"/>
        </w:rPr>
      </w:pPr>
      <w:r w:rsidRPr="00C62BC1">
        <w:rPr>
          <w:spacing w:val="-2"/>
          <w:lang w:val="nl-NL"/>
        </w:rPr>
        <w:t xml:space="preserve">Tổng chi ngân sách Nhà nước tháng </w:t>
      </w:r>
      <w:r w:rsidRPr="00C62BC1">
        <w:rPr>
          <w:spacing w:val="-2"/>
          <w:lang w:val="it-IT"/>
        </w:rPr>
        <w:t>Mười Một</w:t>
      </w:r>
      <w:r w:rsidRPr="00C62BC1" w:rsidDel="00B029BD">
        <w:rPr>
          <w:spacing w:val="-2"/>
          <w:lang w:val="nl-NL"/>
        </w:rPr>
        <w:t xml:space="preserve"> </w:t>
      </w:r>
      <w:r w:rsidRPr="00C62BC1">
        <w:rPr>
          <w:spacing w:val="-2"/>
          <w:lang w:val="nl-NL"/>
        </w:rPr>
        <w:t xml:space="preserve">ước đạt </w:t>
      </w:r>
      <w:r w:rsidR="00232E0C" w:rsidRPr="00C62BC1">
        <w:rPr>
          <w:spacing w:val="-2"/>
          <w:lang w:val="nl-NL"/>
        </w:rPr>
        <w:t>213,3</w:t>
      </w:r>
      <w:r w:rsidRPr="00C62BC1">
        <w:rPr>
          <w:spacing w:val="-2"/>
          <w:lang w:val="nl-NL"/>
        </w:rPr>
        <w:t xml:space="preserve"> nghìn tỷ đồng, lũy kế mười một tháng năm 2025 đạt </w:t>
      </w:r>
      <w:r w:rsidR="00232E0C" w:rsidRPr="00C62BC1">
        <w:rPr>
          <w:spacing w:val="-2"/>
          <w:lang w:val="nl-NL"/>
        </w:rPr>
        <w:t>2.049,7</w:t>
      </w:r>
      <w:r w:rsidRPr="00C62BC1">
        <w:rPr>
          <w:spacing w:val="-2"/>
          <w:lang w:val="nl-NL"/>
        </w:rPr>
        <w:t xml:space="preserve"> nghìn tỷ đồng, </w:t>
      </w:r>
      <w:r w:rsidR="00232E0C" w:rsidRPr="00C62BC1">
        <w:rPr>
          <w:spacing w:val="-2"/>
          <w:lang w:val="nl-NL"/>
        </w:rPr>
        <w:t>b</w:t>
      </w:r>
      <w:r w:rsidRPr="00C62BC1">
        <w:rPr>
          <w:spacing w:val="-2"/>
          <w:lang w:val="nl-NL"/>
        </w:rPr>
        <w:t>ằng 79,</w:t>
      </w:r>
      <w:r w:rsidR="00232E0C" w:rsidRPr="00C62BC1">
        <w:rPr>
          <w:spacing w:val="-2"/>
          <w:lang w:val="nl-NL"/>
        </w:rPr>
        <w:t>5</w:t>
      </w:r>
      <w:r w:rsidRPr="00C62BC1">
        <w:rPr>
          <w:spacing w:val="-2"/>
          <w:lang w:val="nl-NL"/>
        </w:rPr>
        <w:t xml:space="preserve">% dự toán năm và tăng </w:t>
      </w:r>
      <w:r w:rsidR="00232E0C" w:rsidRPr="00C62BC1">
        <w:rPr>
          <w:spacing w:val="-2"/>
          <w:lang w:val="nl-NL"/>
        </w:rPr>
        <w:t>32,5</w:t>
      </w:r>
      <w:r w:rsidRPr="00C62BC1">
        <w:rPr>
          <w:spacing w:val="-2"/>
          <w:lang w:val="nl-NL"/>
        </w:rPr>
        <w:t>% so với cùng kỳ năm trước</w:t>
      </w:r>
      <w:r w:rsidRPr="00C62BC1">
        <w:rPr>
          <w:rStyle w:val="FootnoteReference"/>
          <w:spacing w:val="-2"/>
          <w:lang w:val="nl-NL"/>
        </w:rPr>
        <w:footnoteReference w:id="17"/>
      </w:r>
      <w:r w:rsidRPr="00C62BC1">
        <w:rPr>
          <w:spacing w:val="-2"/>
          <w:lang w:val="nl-NL"/>
        </w:rPr>
        <w:t xml:space="preserve">, trong đó: Chi thường xuyên đạt 1.398,0 nghìn tỷ đồng, bằng 87,5% và tăng 32,4%; chi đầu tư phát triển </w:t>
      </w:r>
      <w:r w:rsidR="00232E0C" w:rsidRPr="00C62BC1">
        <w:rPr>
          <w:spacing w:val="-2"/>
          <w:lang w:val="nl-NL"/>
        </w:rPr>
        <w:t>553,3</w:t>
      </w:r>
      <w:r w:rsidRPr="00C62BC1">
        <w:rPr>
          <w:spacing w:val="-2"/>
          <w:lang w:val="nl-NL"/>
        </w:rPr>
        <w:t xml:space="preserve"> nghìn tỷ đồng, bằng </w:t>
      </w:r>
      <w:r w:rsidR="00232E0C" w:rsidRPr="00C62BC1">
        <w:rPr>
          <w:spacing w:val="-2"/>
          <w:lang w:val="nl-NL"/>
        </w:rPr>
        <w:t>70,0</w:t>
      </w:r>
      <w:r w:rsidRPr="00C62BC1">
        <w:rPr>
          <w:spacing w:val="-2"/>
          <w:lang w:val="nl-NL"/>
        </w:rPr>
        <w:t xml:space="preserve">% và tăng </w:t>
      </w:r>
      <w:r w:rsidR="00232E0C" w:rsidRPr="00C62BC1">
        <w:rPr>
          <w:spacing w:val="-2"/>
          <w:lang w:val="nl-NL"/>
        </w:rPr>
        <w:t>39,2</w:t>
      </w:r>
      <w:r w:rsidRPr="00C62BC1">
        <w:rPr>
          <w:spacing w:val="-2"/>
          <w:lang w:val="nl-NL"/>
        </w:rPr>
        <w:t>%</w:t>
      </w:r>
      <w:r w:rsidRPr="00C62BC1">
        <w:rPr>
          <w:rStyle w:val="FootnoteReference"/>
          <w:spacing w:val="-2"/>
          <w:lang w:val="nl-NL"/>
        </w:rPr>
        <w:footnoteReference w:id="18"/>
      </w:r>
      <w:r w:rsidRPr="00C62BC1">
        <w:rPr>
          <w:spacing w:val="-2"/>
          <w:lang w:val="nl-NL"/>
        </w:rPr>
        <w:t>; chi trả nợ lãi 92,2 nghìn tỷ đồng, bằng 83,4% và tăng 0,8%.</w:t>
      </w:r>
    </w:p>
    <w:p w14:paraId="0F12FB11" w14:textId="4CE3BB05" w:rsidR="00646268" w:rsidRPr="00C62BC1" w:rsidRDefault="00646268" w:rsidP="003F1C14">
      <w:pPr>
        <w:spacing w:after="120" w:line="264" w:lineRule="auto"/>
        <w:ind w:firstLine="720"/>
        <w:jc w:val="both"/>
        <w:rPr>
          <w:b/>
          <w:bCs/>
          <w:lang w:val="vi-VN"/>
        </w:rPr>
      </w:pPr>
      <w:r w:rsidRPr="00C62BC1">
        <w:rPr>
          <w:b/>
          <w:bCs/>
          <w:lang w:val="vi-VN"/>
        </w:rPr>
        <w:t>6. Thương mại, giá cả, vận tải và du lịch</w:t>
      </w:r>
    </w:p>
    <w:bookmarkEnd w:id="0"/>
    <w:p w14:paraId="4D620256" w14:textId="77777777" w:rsidR="00474786" w:rsidRPr="00C62BC1" w:rsidRDefault="00474786" w:rsidP="003F1C14">
      <w:pPr>
        <w:spacing w:after="120" w:line="264" w:lineRule="auto"/>
        <w:ind w:firstLine="720"/>
        <w:rPr>
          <w:b/>
          <w:i/>
          <w:lang w:val="vi-VN"/>
        </w:rPr>
      </w:pPr>
      <w:r w:rsidRPr="00C62BC1">
        <w:rPr>
          <w:b/>
          <w:i/>
          <w:lang w:val="vi-VN"/>
        </w:rPr>
        <w:t>a) Bán lẻ hàng hóa và doanh thu dịch vụ tiêu dùng</w:t>
      </w:r>
    </w:p>
    <w:p w14:paraId="6F1B99F7" w14:textId="77777777" w:rsidR="00EF7A8C" w:rsidRPr="00C62BC1" w:rsidRDefault="00EF7A8C" w:rsidP="003F1C14">
      <w:pPr>
        <w:spacing w:after="120" w:line="264" w:lineRule="auto"/>
        <w:ind w:firstLine="720"/>
        <w:jc w:val="both"/>
        <w:rPr>
          <w:i/>
          <w:lang w:val="vi-VN"/>
        </w:rPr>
      </w:pPr>
      <w:bookmarkStart w:id="1" w:name="_Hlk213088934"/>
      <w:r w:rsidRPr="00C62BC1">
        <w:rPr>
          <w:i/>
          <w:lang w:val="fr-FR"/>
        </w:rPr>
        <w:t>Hoạt động thương mại, dịch vụ trong tháng Mười Một ổn định với tổng mức bán lẻ hàng hóa và doanh thu dịch vụ tiêu dùng ước tính tương đương tháng trước và tăng 7,1</w:t>
      </w:r>
      <w:r w:rsidRPr="00C62BC1">
        <w:rPr>
          <w:i/>
          <w:lang w:val="vi-VN"/>
        </w:rPr>
        <w:t xml:space="preserve">% so với cùng kỳ năm trước. Tính chung mười một tháng năm 2025, tổng mức bán lẻ hàng hóa và doanh thu dịch vụ tiêu dùng tăng 9,1% so </w:t>
      </w:r>
      <w:r w:rsidRPr="00C62BC1">
        <w:rPr>
          <w:i/>
          <w:lang w:val="vi-VN"/>
        </w:rPr>
        <w:lastRenderedPageBreak/>
        <w:t xml:space="preserve">với cùng kỳ năm trước, trong đó: Doanh thu dịch vụ lưu trú, ăn uống tăng 14,6% và doanh thu du lịch lữ hành tăng 19,9%, </w:t>
      </w:r>
      <w:r w:rsidRPr="00C62BC1">
        <w:rPr>
          <w:i/>
          <w:lang w:val="fr-FR"/>
        </w:rPr>
        <w:t>phản ánh hiệu quả kích cầu tiêu dùng và các chính sách, chương trình quảng bá, xúc tiến du lịch được đẩy mạnh.</w:t>
      </w:r>
    </w:p>
    <w:p w14:paraId="10EE7DF6" w14:textId="77777777" w:rsidR="00EF7A8C" w:rsidRPr="00C62BC1" w:rsidRDefault="00EF7A8C" w:rsidP="003F1C14">
      <w:pPr>
        <w:spacing w:after="120" w:line="264" w:lineRule="auto"/>
        <w:ind w:firstLine="720"/>
        <w:jc w:val="both"/>
        <w:rPr>
          <w:iCs/>
          <w:spacing w:val="-2"/>
          <w:lang w:val="vi-VN"/>
        </w:rPr>
      </w:pPr>
      <w:r w:rsidRPr="00C62BC1">
        <w:rPr>
          <w:iCs/>
          <w:spacing w:val="-2"/>
          <w:lang w:val="vi-VN"/>
        </w:rPr>
        <w:t xml:space="preserve">Tổng mức bán lẻ hàng hóa và doanh thu dịch vụ tiêu dùng theo giá hiện hành tháng Mười Một ước đạt 601,2 nghìn tỷ đồng, tăng 7,1% so với cùng kỳ năm trước. Trong đó, doanh thu nhóm hàng đồ dùng, dụng cụ, trang thiết bị gia đình tăng 13,6% so với cùng kỳ năm trước do nhu cầu mua sắm của người dân tăng khi thời tiết chuyển mùa và bổ sung, thay thế đồ dùng, trang thiết bị thiệt hại do mưa lũ; hàng may mặc tăng 9,2%; lương thực, thực phẩm tăng 7,0%; dịch vụ lưu trú, ăn uống tăng 13,6% và du lịch lữ hành tăng 19,1%. </w:t>
      </w:r>
    </w:p>
    <w:p w14:paraId="28630921" w14:textId="77777777" w:rsidR="00EF7A8C" w:rsidRPr="00C62BC1" w:rsidRDefault="00EF7A8C" w:rsidP="00EF7A8C">
      <w:pPr>
        <w:spacing w:after="120" w:line="254" w:lineRule="auto"/>
        <w:jc w:val="center"/>
        <w:rPr>
          <w:rFonts w:ascii="Arial" w:hAnsi="Arial" w:cs="Arial"/>
          <w:b/>
          <w:bCs/>
          <w:spacing w:val="-6"/>
          <w:sz w:val="24"/>
          <w:szCs w:val="26"/>
          <w:lang w:val="vi-VN"/>
        </w:rPr>
      </w:pPr>
      <w:r w:rsidRPr="00C62BC1">
        <w:rPr>
          <w:rFonts w:ascii="Arial" w:hAnsi="Arial" w:cs="Arial"/>
          <w:b/>
          <w:spacing w:val="-2"/>
          <w:sz w:val="24"/>
          <w:szCs w:val="26"/>
          <w:lang w:val="vi-VN"/>
        </w:rPr>
        <w:t xml:space="preserve">Biểu 3. </w:t>
      </w:r>
      <w:r w:rsidRPr="00C62BC1">
        <w:rPr>
          <w:rFonts w:ascii="Arial" w:hAnsi="Arial" w:cs="Arial"/>
          <w:b/>
          <w:bCs/>
          <w:spacing w:val="-6"/>
          <w:sz w:val="24"/>
          <w:szCs w:val="26"/>
          <w:lang w:val="vi-VN"/>
        </w:rPr>
        <w:t>Tổng mức bán lẻ hàng hóa và doanh thu dịch vụ tiêu dùng</w:t>
      </w:r>
      <w:r w:rsidRPr="00C62BC1">
        <w:rPr>
          <w:rFonts w:ascii="Arial" w:hAnsi="Arial" w:cs="Arial"/>
          <w:b/>
          <w:bCs/>
          <w:spacing w:val="-6"/>
          <w:sz w:val="24"/>
          <w:szCs w:val="26"/>
          <w:lang w:val="vi-VN"/>
        </w:rPr>
        <w:br/>
        <w:t>theo giá hiện hành</w:t>
      </w:r>
    </w:p>
    <w:p w14:paraId="7A620AC1" w14:textId="77777777" w:rsidR="00EF7A8C" w:rsidRPr="00C62BC1" w:rsidRDefault="00EF7A8C" w:rsidP="00EF7A8C">
      <w:pPr>
        <w:tabs>
          <w:tab w:val="left" w:pos="2835"/>
        </w:tabs>
        <w:ind w:firstLine="561"/>
        <w:jc w:val="right"/>
        <w:rPr>
          <w:rFonts w:ascii="Arial" w:hAnsi="Arial" w:cs="Arial"/>
          <w:b/>
          <w:i/>
          <w:spacing w:val="-6"/>
          <w:sz w:val="20"/>
          <w:szCs w:val="20"/>
        </w:rPr>
      </w:pPr>
      <w:r w:rsidRPr="00C62BC1">
        <w:rPr>
          <w:rFonts w:ascii="Arial" w:hAnsi="Arial" w:cs="Arial"/>
          <w:b/>
          <w:i/>
          <w:spacing w:val="-6"/>
          <w:sz w:val="20"/>
          <w:szCs w:val="20"/>
        </w:rPr>
        <w:t>Nghìn tỷ đồng</w:t>
      </w:r>
    </w:p>
    <w:tbl>
      <w:tblPr>
        <w:tblW w:w="9060" w:type="dxa"/>
        <w:jc w:val="center"/>
        <w:tblLayout w:type="fixed"/>
        <w:tblLook w:val="04A0" w:firstRow="1" w:lastRow="0" w:firstColumn="1" w:lastColumn="0" w:noHBand="0" w:noVBand="1"/>
      </w:tblPr>
      <w:tblGrid>
        <w:gridCol w:w="3021"/>
        <w:gridCol w:w="1437"/>
        <w:gridCol w:w="1592"/>
        <w:gridCol w:w="1690"/>
        <w:gridCol w:w="1320"/>
      </w:tblGrid>
      <w:tr w:rsidR="00951742" w:rsidRPr="00C62BC1" w14:paraId="5FD32A3D" w14:textId="77777777" w:rsidTr="00480E99">
        <w:trPr>
          <w:cantSplit/>
          <w:trHeight w:val="613"/>
          <w:jc w:val="center"/>
        </w:trPr>
        <w:tc>
          <w:tcPr>
            <w:tcW w:w="3021" w:type="dxa"/>
            <w:vMerge w:val="restart"/>
            <w:tcBorders>
              <w:top w:val="single" w:sz="4" w:space="0" w:color="auto"/>
              <w:left w:val="nil"/>
              <w:bottom w:val="single" w:sz="4" w:space="0" w:color="auto"/>
              <w:right w:val="nil"/>
            </w:tcBorders>
            <w:vAlign w:val="center"/>
            <w:hideMark/>
          </w:tcPr>
          <w:p w14:paraId="1E43912A" w14:textId="77777777" w:rsidR="00EF7A8C" w:rsidRPr="00C62BC1" w:rsidRDefault="00EF7A8C" w:rsidP="00480E99">
            <w:pPr>
              <w:spacing w:line="256" w:lineRule="auto"/>
              <w:jc w:val="both"/>
              <w:rPr>
                <w:rFonts w:ascii="Arial" w:hAnsi="Arial" w:cs="Arial"/>
                <w:sz w:val="20"/>
                <w:szCs w:val="20"/>
              </w:rPr>
            </w:pPr>
            <w:r w:rsidRPr="00C62BC1">
              <w:rPr>
                <w:rFonts w:ascii="Arial" w:hAnsi="Arial" w:cs="Arial"/>
                <w:bCs/>
                <w:sz w:val="20"/>
                <w:szCs w:val="20"/>
              </w:rPr>
              <w:t> </w:t>
            </w:r>
          </w:p>
        </w:tc>
        <w:tc>
          <w:tcPr>
            <w:tcW w:w="1437" w:type="dxa"/>
            <w:vMerge w:val="restart"/>
            <w:tcBorders>
              <w:top w:val="single" w:sz="4" w:space="0" w:color="auto"/>
              <w:left w:val="nil"/>
              <w:bottom w:val="single" w:sz="4" w:space="0" w:color="auto"/>
              <w:right w:val="nil"/>
            </w:tcBorders>
            <w:vAlign w:val="center"/>
            <w:hideMark/>
          </w:tcPr>
          <w:p w14:paraId="2124C643" w14:textId="77777777" w:rsidR="00EF7A8C" w:rsidRPr="00C62BC1" w:rsidRDefault="00EF7A8C" w:rsidP="00480E99">
            <w:pPr>
              <w:spacing w:line="256" w:lineRule="auto"/>
              <w:jc w:val="center"/>
              <w:rPr>
                <w:rFonts w:ascii="Arial" w:hAnsi="Arial" w:cs="Arial"/>
                <w:sz w:val="20"/>
                <w:szCs w:val="20"/>
              </w:rPr>
            </w:pPr>
            <w:r w:rsidRPr="00C62BC1">
              <w:rPr>
                <w:rFonts w:ascii="Arial" w:hAnsi="Arial" w:cs="Arial"/>
                <w:sz w:val="20"/>
                <w:szCs w:val="20"/>
              </w:rPr>
              <w:t>Ước tính</w:t>
            </w:r>
          </w:p>
          <w:p w14:paraId="1AD6AF31" w14:textId="77777777" w:rsidR="00EF7A8C" w:rsidRPr="00C62BC1" w:rsidRDefault="00EF7A8C" w:rsidP="00480E99">
            <w:pPr>
              <w:spacing w:line="256" w:lineRule="auto"/>
              <w:jc w:val="center"/>
              <w:rPr>
                <w:rFonts w:ascii="Arial" w:hAnsi="Arial" w:cs="Arial"/>
                <w:sz w:val="20"/>
                <w:szCs w:val="20"/>
              </w:rPr>
            </w:pPr>
            <w:r w:rsidRPr="00C62BC1">
              <w:rPr>
                <w:rFonts w:ascii="Arial" w:hAnsi="Arial" w:cs="Arial"/>
                <w:sz w:val="20"/>
                <w:szCs w:val="20"/>
              </w:rPr>
              <w:t>tháng 11</w:t>
            </w:r>
          </w:p>
          <w:p w14:paraId="390B9CC7" w14:textId="77777777" w:rsidR="00EF7A8C" w:rsidRPr="00C62BC1" w:rsidRDefault="00EF7A8C" w:rsidP="00480E99">
            <w:pPr>
              <w:spacing w:line="256" w:lineRule="auto"/>
              <w:jc w:val="center"/>
              <w:rPr>
                <w:rFonts w:ascii="Arial" w:hAnsi="Arial" w:cs="Arial"/>
                <w:sz w:val="20"/>
                <w:szCs w:val="20"/>
              </w:rPr>
            </w:pPr>
            <w:r w:rsidRPr="00C62BC1">
              <w:rPr>
                <w:rFonts w:ascii="Arial" w:hAnsi="Arial" w:cs="Arial"/>
                <w:sz w:val="20"/>
                <w:szCs w:val="20"/>
              </w:rPr>
              <w:t>năm 2025</w:t>
            </w:r>
          </w:p>
        </w:tc>
        <w:tc>
          <w:tcPr>
            <w:tcW w:w="1592" w:type="dxa"/>
            <w:vMerge w:val="restart"/>
            <w:tcBorders>
              <w:top w:val="single" w:sz="4" w:space="0" w:color="auto"/>
              <w:left w:val="nil"/>
              <w:bottom w:val="single" w:sz="4" w:space="0" w:color="auto"/>
              <w:right w:val="nil"/>
            </w:tcBorders>
            <w:vAlign w:val="center"/>
            <w:hideMark/>
          </w:tcPr>
          <w:p w14:paraId="0D8A5E0E" w14:textId="77777777" w:rsidR="00EF7A8C" w:rsidRPr="00C62BC1" w:rsidRDefault="00EF7A8C" w:rsidP="00480E99">
            <w:pPr>
              <w:spacing w:line="256" w:lineRule="auto"/>
              <w:jc w:val="center"/>
              <w:rPr>
                <w:rFonts w:ascii="Arial" w:hAnsi="Arial" w:cs="Arial"/>
                <w:sz w:val="20"/>
                <w:szCs w:val="20"/>
                <w:lang w:val="pt-BR"/>
              </w:rPr>
            </w:pPr>
            <w:r w:rsidRPr="00C62BC1">
              <w:rPr>
                <w:rFonts w:ascii="Arial" w:hAnsi="Arial" w:cs="Arial"/>
                <w:sz w:val="20"/>
                <w:szCs w:val="20"/>
                <w:lang w:val="pt-BR"/>
              </w:rPr>
              <w:t>Ước tính</w:t>
            </w:r>
          </w:p>
          <w:p w14:paraId="1046F7CF" w14:textId="77777777" w:rsidR="00EF7A8C" w:rsidRPr="00C62BC1" w:rsidRDefault="00EF7A8C" w:rsidP="00480E99">
            <w:pPr>
              <w:spacing w:line="256" w:lineRule="auto"/>
              <w:jc w:val="center"/>
              <w:rPr>
                <w:rFonts w:ascii="Arial" w:hAnsi="Arial" w:cs="Arial"/>
                <w:sz w:val="20"/>
                <w:szCs w:val="20"/>
                <w:lang w:val="pt-BR"/>
              </w:rPr>
            </w:pPr>
            <w:r w:rsidRPr="00C62BC1">
              <w:rPr>
                <w:rFonts w:ascii="Arial" w:hAnsi="Arial" w:cs="Arial"/>
                <w:sz w:val="20"/>
                <w:szCs w:val="20"/>
                <w:lang w:val="pt-BR"/>
              </w:rPr>
              <w:t>11 tháng</w:t>
            </w:r>
          </w:p>
          <w:p w14:paraId="0D9D86EF" w14:textId="77777777" w:rsidR="00EF7A8C" w:rsidRPr="00C62BC1" w:rsidRDefault="00EF7A8C" w:rsidP="00480E99">
            <w:pPr>
              <w:spacing w:line="256" w:lineRule="auto"/>
              <w:jc w:val="center"/>
              <w:rPr>
                <w:rFonts w:ascii="Arial" w:hAnsi="Arial" w:cs="Arial"/>
                <w:sz w:val="20"/>
                <w:szCs w:val="20"/>
                <w:lang w:val="pt-BR"/>
              </w:rPr>
            </w:pPr>
            <w:r w:rsidRPr="00C62BC1">
              <w:rPr>
                <w:rFonts w:ascii="Arial" w:hAnsi="Arial" w:cs="Arial"/>
                <w:sz w:val="20"/>
                <w:szCs w:val="20"/>
                <w:lang w:val="pt-BR"/>
              </w:rPr>
              <w:t>năm 2025</w:t>
            </w:r>
          </w:p>
        </w:tc>
        <w:tc>
          <w:tcPr>
            <w:tcW w:w="3010" w:type="dxa"/>
            <w:gridSpan w:val="2"/>
            <w:tcBorders>
              <w:top w:val="single" w:sz="4" w:space="0" w:color="auto"/>
              <w:left w:val="nil"/>
              <w:bottom w:val="single" w:sz="4" w:space="0" w:color="auto"/>
              <w:right w:val="nil"/>
            </w:tcBorders>
            <w:vAlign w:val="center"/>
            <w:hideMark/>
          </w:tcPr>
          <w:p w14:paraId="6F4E4448" w14:textId="77777777" w:rsidR="00EF7A8C" w:rsidRPr="00C62BC1" w:rsidRDefault="00EF7A8C" w:rsidP="00480E99">
            <w:pPr>
              <w:spacing w:line="256" w:lineRule="auto"/>
              <w:jc w:val="center"/>
              <w:rPr>
                <w:rFonts w:ascii="Arial" w:hAnsi="Arial" w:cs="Arial"/>
                <w:sz w:val="20"/>
                <w:szCs w:val="20"/>
                <w:lang w:val="pt-BR"/>
              </w:rPr>
            </w:pPr>
            <w:r w:rsidRPr="00C62BC1">
              <w:rPr>
                <w:rFonts w:ascii="Arial" w:hAnsi="Arial" w:cs="Arial"/>
                <w:sz w:val="20"/>
                <w:szCs w:val="20"/>
                <w:lang w:val="pt-BR"/>
              </w:rPr>
              <w:t>Tốc độ tăng so với</w:t>
            </w:r>
          </w:p>
          <w:p w14:paraId="289E669C" w14:textId="77777777" w:rsidR="00EF7A8C" w:rsidRPr="00C62BC1" w:rsidRDefault="00EF7A8C" w:rsidP="00480E99">
            <w:pPr>
              <w:spacing w:line="256" w:lineRule="auto"/>
              <w:jc w:val="center"/>
              <w:rPr>
                <w:rFonts w:ascii="Arial" w:hAnsi="Arial" w:cs="Arial"/>
                <w:sz w:val="20"/>
                <w:szCs w:val="20"/>
                <w:lang w:val="pt-BR"/>
              </w:rPr>
            </w:pPr>
            <w:r w:rsidRPr="00C62BC1">
              <w:rPr>
                <w:rFonts w:ascii="Arial" w:hAnsi="Arial" w:cs="Arial"/>
                <w:sz w:val="20"/>
                <w:szCs w:val="20"/>
                <w:lang w:val="pt-BR"/>
              </w:rPr>
              <w:t>cùng kỳ năm trước (%)</w:t>
            </w:r>
          </w:p>
        </w:tc>
      </w:tr>
      <w:tr w:rsidR="00951742" w:rsidRPr="00C62BC1" w14:paraId="1DC8AD02" w14:textId="77777777" w:rsidTr="00480E99">
        <w:trPr>
          <w:cantSplit/>
          <w:trHeight w:val="513"/>
          <w:jc w:val="center"/>
        </w:trPr>
        <w:tc>
          <w:tcPr>
            <w:tcW w:w="3021" w:type="dxa"/>
            <w:vMerge/>
            <w:tcBorders>
              <w:top w:val="single" w:sz="4" w:space="0" w:color="auto"/>
              <w:left w:val="nil"/>
              <w:bottom w:val="single" w:sz="4" w:space="0" w:color="auto"/>
              <w:right w:val="nil"/>
            </w:tcBorders>
            <w:vAlign w:val="center"/>
            <w:hideMark/>
          </w:tcPr>
          <w:p w14:paraId="43084F82" w14:textId="77777777" w:rsidR="00EF7A8C" w:rsidRPr="00C62BC1" w:rsidRDefault="00EF7A8C" w:rsidP="00480E99">
            <w:pPr>
              <w:spacing w:line="256" w:lineRule="auto"/>
              <w:rPr>
                <w:rFonts w:ascii="Arial" w:hAnsi="Arial" w:cs="Arial"/>
                <w:sz w:val="20"/>
                <w:szCs w:val="20"/>
                <w:lang w:val="pt-BR"/>
              </w:rPr>
            </w:pPr>
          </w:p>
        </w:tc>
        <w:tc>
          <w:tcPr>
            <w:tcW w:w="1437" w:type="dxa"/>
            <w:vMerge/>
            <w:tcBorders>
              <w:top w:val="single" w:sz="4" w:space="0" w:color="auto"/>
              <w:left w:val="nil"/>
              <w:bottom w:val="single" w:sz="4" w:space="0" w:color="auto"/>
              <w:right w:val="nil"/>
            </w:tcBorders>
            <w:vAlign w:val="center"/>
            <w:hideMark/>
          </w:tcPr>
          <w:p w14:paraId="30DF16E7" w14:textId="77777777" w:rsidR="00EF7A8C" w:rsidRPr="00C62BC1" w:rsidRDefault="00EF7A8C" w:rsidP="00480E99">
            <w:pPr>
              <w:spacing w:line="256" w:lineRule="auto"/>
              <w:rPr>
                <w:rFonts w:ascii="Arial" w:hAnsi="Arial" w:cs="Arial"/>
                <w:sz w:val="20"/>
                <w:szCs w:val="20"/>
                <w:lang w:val="pt-BR"/>
              </w:rPr>
            </w:pPr>
          </w:p>
        </w:tc>
        <w:tc>
          <w:tcPr>
            <w:tcW w:w="1592" w:type="dxa"/>
            <w:vMerge/>
            <w:tcBorders>
              <w:top w:val="single" w:sz="4" w:space="0" w:color="auto"/>
              <w:left w:val="nil"/>
              <w:bottom w:val="single" w:sz="4" w:space="0" w:color="auto"/>
              <w:right w:val="nil"/>
            </w:tcBorders>
            <w:vAlign w:val="center"/>
            <w:hideMark/>
          </w:tcPr>
          <w:p w14:paraId="797E6C3D" w14:textId="77777777" w:rsidR="00EF7A8C" w:rsidRPr="00C62BC1" w:rsidRDefault="00EF7A8C" w:rsidP="00480E99">
            <w:pPr>
              <w:spacing w:line="256" w:lineRule="auto"/>
              <w:rPr>
                <w:rFonts w:ascii="Arial" w:hAnsi="Arial" w:cs="Arial"/>
                <w:sz w:val="20"/>
                <w:szCs w:val="20"/>
                <w:lang w:val="pt-BR"/>
              </w:rPr>
            </w:pPr>
          </w:p>
        </w:tc>
        <w:tc>
          <w:tcPr>
            <w:tcW w:w="1690" w:type="dxa"/>
            <w:tcBorders>
              <w:top w:val="single" w:sz="4" w:space="0" w:color="auto"/>
              <w:left w:val="nil"/>
              <w:bottom w:val="single" w:sz="4" w:space="0" w:color="auto"/>
              <w:right w:val="nil"/>
            </w:tcBorders>
            <w:vAlign w:val="center"/>
            <w:hideMark/>
          </w:tcPr>
          <w:p w14:paraId="020B5594" w14:textId="77777777" w:rsidR="00EF7A8C" w:rsidRPr="00C62BC1" w:rsidRDefault="00EF7A8C" w:rsidP="00480E99">
            <w:pPr>
              <w:spacing w:line="256" w:lineRule="auto"/>
              <w:jc w:val="center"/>
              <w:rPr>
                <w:rFonts w:ascii="Arial" w:hAnsi="Arial" w:cs="Arial"/>
                <w:sz w:val="20"/>
                <w:szCs w:val="20"/>
              </w:rPr>
            </w:pPr>
            <w:r w:rsidRPr="00C62BC1">
              <w:rPr>
                <w:rFonts w:ascii="Arial" w:hAnsi="Arial" w:cs="Arial"/>
                <w:sz w:val="20"/>
                <w:szCs w:val="20"/>
              </w:rPr>
              <w:t>Tháng 11</w:t>
            </w:r>
          </w:p>
          <w:p w14:paraId="07DEB429" w14:textId="77777777" w:rsidR="00EF7A8C" w:rsidRPr="00C62BC1" w:rsidRDefault="00EF7A8C" w:rsidP="00480E99">
            <w:pPr>
              <w:spacing w:line="256" w:lineRule="auto"/>
              <w:jc w:val="center"/>
              <w:rPr>
                <w:rFonts w:ascii="Arial" w:hAnsi="Arial" w:cs="Arial"/>
                <w:sz w:val="20"/>
                <w:szCs w:val="20"/>
              </w:rPr>
            </w:pPr>
            <w:r w:rsidRPr="00C62BC1">
              <w:rPr>
                <w:rFonts w:ascii="Arial" w:hAnsi="Arial" w:cs="Arial"/>
                <w:sz w:val="20"/>
                <w:szCs w:val="20"/>
              </w:rPr>
              <w:t>năm 2025</w:t>
            </w:r>
          </w:p>
        </w:tc>
        <w:tc>
          <w:tcPr>
            <w:tcW w:w="1320" w:type="dxa"/>
            <w:tcBorders>
              <w:top w:val="single" w:sz="4" w:space="0" w:color="auto"/>
              <w:left w:val="nil"/>
              <w:bottom w:val="single" w:sz="4" w:space="0" w:color="auto"/>
              <w:right w:val="nil"/>
            </w:tcBorders>
            <w:vAlign w:val="center"/>
            <w:hideMark/>
          </w:tcPr>
          <w:p w14:paraId="05B22E84" w14:textId="77777777" w:rsidR="00EF7A8C" w:rsidRPr="00C62BC1" w:rsidRDefault="00EF7A8C" w:rsidP="00480E99">
            <w:pPr>
              <w:spacing w:line="256" w:lineRule="auto"/>
              <w:jc w:val="center"/>
              <w:rPr>
                <w:rFonts w:ascii="Arial" w:hAnsi="Arial" w:cs="Arial"/>
                <w:sz w:val="20"/>
                <w:szCs w:val="20"/>
              </w:rPr>
            </w:pPr>
            <w:r w:rsidRPr="00C62BC1">
              <w:rPr>
                <w:rFonts w:ascii="Arial" w:hAnsi="Arial" w:cs="Arial"/>
                <w:sz w:val="20"/>
                <w:szCs w:val="20"/>
              </w:rPr>
              <w:t>11 tháng</w:t>
            </w:r>
          </w:p>
          <w:p w14:paraId="1FAF291B" w14:textId="77777777" w:rsidR="00EF7A8C" w:rsidRPr="00C62BC1" w:rsidRDefault="00EF7A8C" w:rsidP="00480E99">
            <w:pPr>
              <w:spacing w:line="256" w:lineRule="auto"/>
              <w:jc w:val="center"/>
              <w:rPr>
                <w:rFonts w:ascii="Arial" w:hAnsi="Arial" w:cs="Arial"/>
                <w:sz w:val="20"/>
                <w:szCs w:val="20"/>
              </w:rPr>
            </w:pPr>
            <w:r w:rsidRPr="00C62BC1">
              <w:rPr>
                <w:rFonts w:ascii="Arial" w:hAnsi="Arial" w:cs="Arial"/>
                <w:sz w:val="20"/>
                <w:szCs w:val="20"/>
              </w:rPr>
              <w:t>năm 2025</w:t>
            </w:r>
          </w:p>
        </w:tc>
      </w:tr>
      <w:tr w:rsidR="00951742" w:rsidRPr="00C62BC1" w14:paraId="6AB84F79" w14:textId="77777777" w:rsidTr="00480E99">
        <w:trPr>
          <w:cantSplit/>
          <w:trHeight w:val="313"/>
          <w:jc w:val="center"/>
        </w:trPr>
        <w:tc>
          <w:tcPr>
            <w:tcW w:w="3021" w:type="dxa"/>
            <w:tcBorders>
              <w:top w:val="single" w:sz="4" w:space="0" w:color="auto"/>
              <w:left w:val="nil"/>
              <w:bottom w:val="nil"/>
              <w:right w:val="nil"/>
            </w:tcBorders>
            <w:vAlign w:val="center"/>
            <w:hideMark/>
          </w:tcPr>
          <w:p w14:paraId="36A1DB27" w14:textId="77777777" w:rsidR="00EF7A8C" w:rsidRPr="00C62BC1" w:rsidRDefault="00EF7A8C" w:rsidP="00480E99">
            <w:pPr>
              <w:spacing w:before="60" w:after="60" w:line="256" w:lineRule="auto"/>
              <w:rPr>
                <w:rFonts w:ascii="Arial" w:hAnsi="Arial" w:cs="Arial"/>
                <w:b/>
                <w:bCs/>
                <w:sz w:val="20"/>
                <w:szCs w:val="20"/>
              </w:rPr>
            </w:pPr>
            <w:r w:rsidRPr="00C62BC1">
              <w:rPr>
                <w:rFonts w:ascii="Arial" w:hAnsi="Arial" w:cs="Arial"/>
                <w:b/>
                <w:bCs/>
                <w:sz w:val="20"/>
                <w:szCs w:val="20"/>
              </w:rPr>
              <w:t>Tổng số</w:t>
            </w:r>
          </w:p>
        </w:tc>
        <w:tc>
          <w:tcPr>
            <w:tcW w:w="1437" w:type="dxa"/>
            <w:tcBorders>
              <w:top w:val="single" w:sz="4" w:space="0" w:color="auto"/>
              <w:left w:val="nil"/>
              <w:bottom w:val="nil"/>
              <w:right w:val="nil"/>
            </w:tcBorders>
            <w:vAlign w:val="center"/>
            <w:hideMark/>
          </w:tcPr>
          <w:p w14:paraId="7A612E32" w14:textId="77777777" w:rsidR="00EF7A8C" w:rsidRPr="00C62BC1" w:rsidRDefault="00EF7A8C" w:rsidP="00480E99">
            <w:pPr>
              <w:spacing w:before="60" w:after="60" w:line="256" w:lineRule="auto"/>
              <w:ind w:right="281"/>
              <w:jc w:val="right"/>
              <w:rPr>
                <w:rFonts w:ascii="Arial" w:hAnsi="Arial" w:cs="Arial"/>
                <w:b/>
                <w:bCs/>
                <w:sz w:val="20"/>
                <w:szCs w:val="20"/>
              </w:rPr>
            </w:pPr>
            <w:r w:rsidRPr="00C62BC1">
              <w:rPr>
                <w:rFonts w:ascii="Arial" w:hAnsi="Arial" w:cs="Arial"/>
                <w:b/>
                <w:bCs/>
                <w:sz w:val="20"/>
                <w:szCs w:val="20"/>
              </w:rPr>
              <w:t>601,2</w:t>
            </w:r>
          </w:p>
        </w:tc>
        <w:tc>
          <w:tcPr>
            <w:tcW w:w="1592" w:type="dxa"/>
            <w:tcBorders>
              <w:top w:val="single" w:sz="4" w:space="0" w:color="auto"/>
              <w:left w:val="nil"/>
              <w:bottom w:val="nil"/>
              <w:right w:val="nil"/>
            </w:tcBorders>
            <w:vAlign w:val="center"/>
            <w:hideMark/>
          </w:tcPr>
          <w:p w14:paraId="7D363BDB" w14:textId="77777777" w:rsidR="00EF7A8C" w:rsidRPr="00C62BC1" w:rsidRDefault="00EF7A8C" w:rsidP="00480E99">
            <w:pPr>
              <w:spacing w:before="60" w:after="60" w:line="256" w:lineRule="auto"/>
              <w:ind w:right="330"/>
              <w:jc w:val="right"/>
              <w:rPr>
                <w:rFonts w:ascii="Arial" w:hAnsi="Arial" w:cs="Arial"/>
                <w:b/>
                <w:bCs/>
                <w:sz w:val="20"/>
                <w:szCs w:val="20"/>
              </w:rPr>
            </w:pPr>
            <w:r w:rsidRPr="00C62BC1">
              <w:rPr>
                <w:rFonts w:ascii="Arial" w:hAnsi="Arial" w:cs="Arial"/>
                <w:b/>
                <w:bCs/>
                <w:sz w:val="20"/>
                <w:szCs w:val="20"/>
              </w:rPr>
              <w:t>6.377,7</w:t>
            </w:r>
          </w:p>
        </w:tc>
        <w:tc>
          <w:tcPr>
            <w:tcW w:w="1690" w:type="dxa"/>
            <w:tcBorders>
              <w:top w:val="single" w:sz="4" w:space="0" w:color="auto"/>
              <w:left w:val="nil"/>
              <w:bottom w:val="nil"/>
              <w:right w:val="nil"/>
            </w:tcBorders>
            <w:vAlign w:val="center"/>
            <w:hideMark/>
          </w:tcPr>
          <w:p w14:paraId="24A33EF7" w14:textId="77777777" w:rsidR="00EF7A8C" w:rsidRPr="00C62BC1" w:rsidRDefault="00EF7A8C" w:rsidP="00480E99">
            <w:pPr>
              <w:spacing w:before="60" w:after="60" w:line="256" w:lineRule="auto"/>
              <w:ind w:right="486"/>
              <w:jc w:val="right"/>
              <w:rPr>
                <w:rFonts w:ascii="Arial" w:hAnsi="Arial" w:cs="Arial"/>
                <w:b/>
                <w:bCs/>
                <w:sz w:val="20"/>
                <w:szCs w:val="20"/>
              </w:rPr>
            </w:pPr>
            <w:r w:rsidRPr="00C62BC1">
              <w:rPr>
                <w:rFonts w:ascii="Arial" w:hAnsi="Arial" w:cs="Arial"/>
                <w:b/>
                <w:bCs/>
                <w:sz w:val="20"/>
                <w:szCs w:val="20"/>
              </w:rPr>
              <w:t>7,1</w:t>
            </w:r>
          </w:p>
        </w:tc>
        <w:tc>
          <w:tcPr>
            <w:tcW w:w="1320" w:type="dxa"/>
            <w:tcBorders>
              <w:top w:val="single" w:sz="4" w:space="0" w:color="auto"/>
              <w:left w:val="nil"/>
              <w:bottom w:val="nil"/>
              <w:right w:val="nil"/>
            </w:tcBorders>
            <w:vAlign w:val="center"/>
            <w:hideMark/>
          </w:tcPr>
          <w:p w14:paraId="25B34DB1" w14:textId="77777777" w:rsidR="00EF7A8C" w:rsidRPr="00C62BC1" w:rsidRDefault="00EF7A8C" w:rsidP="00480E99">
            <w:pPr>
              <w:spacing w:before="60" w:after="60" w:line="256" w:lineRule="auto"/>
              <w:ind w:right="410"/>
              <w:jc w:val="right"/>
              <w:rPr>
                <w:rFonts w:ascii="Arial" w:hAnsi="Arial" w:cs="Arial"/>
                <w:b/>
                <w:bCs/>
                <w:sz w:val="20"/>
                <w:szCs w:val="20"/>
              </w:rPr>
            </w:pPr>
            <w:r w:rsidRPr="00C62BC1">
              <w:rPr>
                <w:rFonts w:ascii="Arial" w:hAnsi="Arial" w:cs="Arial"/>
                <w:b/>
                <w:bCs/>
                <w:sz w:val="20"/>
                <w:szCs w:val="20"/>
              </w:rPr>
              <w:t>9,1</w:t>
            </w:r>
          </w:p>
        </w:tc>
      </w:tr>
      <w:tr w:rsidR="00951742" w:rsidRPr="00C62BC1" w14:paraId="5A85E894" w14:textId="77777777" w:rsidTr="00480E99">
        <w:trPr>
          <w:cantSplit/>
          <w:trHeight w:val="326"/>
          <w:jc w:val="center"/>
        </w:trPr>
        <w:tc>
          <w:tcPr>
            <w:tcW w:w="3021" w:type="dxa"/>
            <w:vAlign w:val="center"/>
            <w:hideMark/>
          </w:tcPr>
          <w:p w14:paraId="3BCDBC6F" w14:textId="77777777" w:rsidR="00EF7A8C" w:rsidRPr="00C62BC1" w:rsidRDefault="00EF7A8C" w:rsidP="00480E99">
            <w:pPr>
              <w:spacing w:before="60" w:after="60" w:line="256" w:lineRule="auto"/>
              <w:ind w:firstLine="317"/>
              <w:rPr>
                <w:rFonts w:ascii="Arial" w:hAnsi="Arial" w:cs="Arial"/>
                <w:sz w:val="20"/>
                <w:szCs w:val="20"/>
              </w:rPr>
            </w:pPr>
            <w:r w:rsidRPr="00C62BC1">
              <w:rPr>
                <w:rFonts w:ascii="Arial" w:hAnsi="Arial" w:cs="Arial"/>
                <w:bCs/>
                <w:sz w:val="20"/>
                <w:szCs w:val="20"/>
              </w:rPr>
              <w:t>Bán lẻ hàng hóa</w:t>
            </w:r>
          </w:p>
        </w:tc>
        <w:tc>
          <w:tcPr>
            <w:tcW w:w="1437" w:type="dxa"/>
            <w:vAlign w:val="center"/>
            <w:hideMark/>
          </w:tcPr>
          <w:p w14:paraId="5EC2C23E" w14:textId="77777777" w:rsidR="00EF7A8C" w:rsidRPr="00C62BC1" w:rsidRDefault="00EF7A8C" w:rsidP="00480E99">
            <w:pPr>
              <w:spacing w:before="60" w:after="60" w:line="256" w:lineRule="auto"/>
              <w:ind w:right="281"/>
              <w:jc w:val="right"/>
              <w:rPr>
                <w:rFonts w:ascii="Arial" w:hAnsi="Arial" w:cs="Arial"/>
                <w:bCs/>
                <w:sz w:val="20"/>
                <w:szCs w:val="20"/>
              </w:rPr>
            </w:pPr>
            <w:r w:rsidRPr="00C62BC1">
              <w:rPr>
                <w:rFonts w:ascii="Arial" w:hAnsi="Arial" w:cs="Arial"/>
                <w:sz w:val="20"/>
                <w:szCs w:val="20"/>
              </w:rPr>
              <w:t>455,3</w:t>
            </w:r>
          </w:p>
        </w:tc>
        <w:tc>
          <w:tcPr>
            <w:tcW w:w="1592" w:type="dxa"/>
            <w:vAlign w:val="center"/>
            <w:hideMark/>
          </w:tcPr>
          <w:p w14:paraId="70A2AF25" w14:textId="77777777" w:rsidR="00EF7A8C" w:rsidRPr="00C62BC1" w:rsidRDefault="00EF7A8C" w:rsidP="00480E99">
            <w:pPr>
              <w:spacing w:before="60" w:after="60" w:line="256" w:lineRule="auto"/>
              <w:ind w:right="330"/>
              <w:jc w:val="right"/>
              <w:rPr>
                <w:rFonts w:ascii="Arial" w:hAnsi="Arial" w:cs="Arial"/>
                <w:bCs/>
                <w:sz w:val="20"/>
                <w:szCs w:val="20"/>
              </w:rPr>
            </w:pPr>
            <w:r w:rsidRPr="00C62BC1">
              <w:rPr>
                <w:rFonts w:ascii="Arial" w:hAnsi="Arial" w:cs="Arial"/>
                <w:sz w:val="20"/>
                <w:szCs w:val="20"/>
              </w:rPr>
              <w:t>4.859,0</w:t>
            </w:r>
          </w:p>
        </w:tc>
        <w:tc>
          <w:tcPr>
            <w:tcW w:w="1690" w:type="dxa"/>
            <w:vAlign w:val="center"/>
            <w:hideMark/>
          </w:tcPr>
          <w:p w14:paraId="2C260A7D" w14:textId="77777777" w:rsidR="00EF7A8C" w:rsidRPr="00C62BC1" w:rsidRDefault="00EF7A8C" w:rsidP="00480E99">
            <w:pPr>
              <w:spacing w:before="60" w:after="60" w:line="256" w:lineRule="auto"/>
              <w:ind w:right="486"/>
              <w:jc w:val="right"/>
              <w:rPr>
                <w:rFonts w:ascii="Arial" w:hAnsi="Arial" w:cs="Arial"/>
                <w:bCs/>
                <w:sz w:val="20"/>
                <w:szCs w:val="20"/>
              </w:rPr>
            </w:pPr>
            <w:r w:rsidRPr="00C62BC1">
              <w:rPr>
                <w:rFonts w:ascii="Arial" w:hAnsi="Arial" w:cs="Arial"/>
                <w:sz w:val="20"/>
                <w:szCs w:val="20"/>
              </w:rPr>
              <w:t>6,0</w:t>
            </w:r>
          </w:p>
        </w:tc>
        <w:tc>
          <w:tcPr>
            <w:tcW w:w="1320" w:type="dxa"/>
            <w:vAlign w:val="center"/>
            <w:hideMark/>
          </w:tcPr>
          <w:p w14:paraId="4A6D348D" w14:textId="77777777" w:rsidR="00EF7A8C" w:rsidRPr="00C62BC1" w:rsidRDefault="00EF7A8C" w:rsidP="00480E99">
            <w:pPr>
              <w:spacing w:before="60" w:after="60" w:line="256" w:lineRule="auto"/>
              <w:ind w:right="410"/>
              <w:jc w:val="right"/>
              <w:rPr>
                <w:rFonts w:ascii="Arial" w:hAnsi="Arial" w:cs="Arial"/>
                <w:bCs/>
                <w:sz w:val="20"/>
                <w:szCs w:val="20"/>
              </w:rPr>
            </w:pPr>
            <w:r w:rsidRPr="00C62BC1">
              <w:rPr>
                <w:rFonts w:ascii="Arial" w:hAnsi="Arial" w:cs="Arial"/>
                <w:sz w:val="20"/>
                <w:szCs w:val="20"/>
              </w:rPr>
              <w:t>7,9</w:t>
            </w:r>
          </w:p>
        </w:tc>
      </w:tr>
      <w:tr w:rsidR="00951742" w:rsidRPr="00C62BC1" w14:paraId="7AC3E42A" w14:textId="77777777" w:rsidTr="00480E99">
        <w:trPr>
          <w:cantSplit/>
          <w:trHeight w:val="326"/>
          <w:jc w:val="center"/>
        </w:trPr>
        <w:tc>
          <w:tcPr>
            <w:tcW w:w="3021" w:type="dxa"/>
            <w:vAlign w:val="center"/>
            <w:hideMark/>
          </w:tcPr>
          <w:p w14:paraId="5E384A0F" w14:textId="77777777" w:rsidR="00EF7A8C" w:rsidRPr="00C62BC1" w:rsidRDefault="00EF7A8C" w:rsidP="00480E99">
            <w:pPr>
              <w:spacing w:before="60" w:after="60" w:line="256" w:lineRule="auto"/>
              <w:ind w:firstLine="317"/>
              <w:rPr>
                <w:rFonts w:ascii="Arial" w:hAnsi="Arial" w:cs="Arial"/>
                <w:sz w:val="20"/>
                <w:szCs w:val="20"/>
              </w:rPr>
            </w:pPr>
            <w:r w:rsidRPr="00C62BC1">
              <w:rPr>
                <w:rFonts w:ascii="Arial" w:hAnsi="Arial" w:cs="Arial"/>
                <w:bCs/>
                <w:sz w:val="20"/>
                <w:szCs w:val="20"/>
              </w:rPr>
              <w:t>Dịch vụ lưu trú, ăn uống</w:t>
            </w:r>
          </w:p>
        </w:tc>
        <w:tc>
          <w:tcPr>
            <w:tcW w:w="1437" w:type="dxa"/>
            <w:vAlign w:val="center"/>
            <w:hideMark/>
          </w:tcPr>
          <w:p w14:paraId="307E088D" w14:textId="77777777" w:rsidR="00EF7A8C" w:rsidRPr="00C62BC1" w:rsidRDefault="00EF7A8C" w:rsidP="00480E99">
            <w:pPr>
              <w:spacing w:before="60" w:after="60" w:line="256" w:lineRule="auto"/>
              <w:ind w:right="281"/>
              <w:jc w:val="right"/>
              <w:rPr>
                <w:rFonts w:ascii="Arial" w:hAnsi="Arial" w:cs="Arial"/>
                <w:bCs/>
                <w:sz w:val="20"/>
                <w:szCs w:val="20"/>
              </w:rPr>
            </w:pPr>
            <w:r w:rsidRPr="00C62BC1">
              <w:rPr>
                <w:rFonts w:ascii="Arial" w:hAnsi="Arial" w:cs="Arial"/>
                <w:sz w:val="20"/>
                <w:szCs w:val="20"/>
              </w:rPr>
              <w:t>72,2</w:t>
            </w:r>
          </w:p>
        </w:tc>
        <w:tc>
          <w:tcPr>
            <w:tcW w:w="1592" w:type="dxa"/>
            <w:vAlign w:val="center"/>
            <w:hideMark/>
          </w:tcPr>
          <w:p w14:paraId="6E1AE0A9" w14:textId="77777777" w:rsidR="00EF7A8C" w:rsidRPr="00C62BC1" w:rsidRDefault="00EF7A8C" w:rsidP="00480E99">
            <w:pPr>
              <w:spacing w:before="60" w:after="60" w:line="256" w:lineRule="auto"/>
              <w:ind w:right="330"/>
              <w:jc w:val="right"/>
              <w:rPr>
                <w:rFonts w:ascii="Arial" w:hAnsi="Arial" w:cs="Arial"/>
                <w:bCs/>
                <w:sz w:val="20"/>
                <w:szCs w:val="20"/>
              </w:rPr>
            </w:pPr>
            <w:r w:rsidRPr="00C62BC1">
              <w:rPr>
                <w:rFonts w:ascii="Arial" w:hAnsi="Arial" w:cs="Arial"/>
                <w:sz w:val="20"/>
                <w:szCs w:val="20"/>
              </w:rPr>
              <w:t>767,8</w:t>
            </w:r>
          </w:p>
        </w:tc>
        <w:tc>
          <w:tcPr>
            <w:tcW w:w="1690" w:type="dxa"/>
            <w:vAlign w:val="center"/>
            <w:hideMark/>
          </w:tcPr>
          <w:p w14:paraId="1829B2A0" w14:textId="77777777" w:rsidR="00EF7A8C" w:rsidRPr="00C62BC1" w:rsidRDefault="00EF7A8C" w:rsidP="00480E99">
            <w:pPr>
              <w:spacing w:before="60" w:after="60" w:line="256" w:lineRule="auto"/>
              <w:ind w:right="486"/>
              <w:jc w:val="right"/>
              <w:rPr>
                <w:rFonts w:ascii="Arial" w:hAnsi="Arial" w:cs="Arial"/>
                <w:bCs/>
                <w:sz w:val="20"/>
                <w:szCs w:val="20"/>
              </w:rPr>
            </w:pPr>
            <w:r w:rsidRPr="00C62BC1">
              <w:rPr>
                <w:rFonts w:ascii="Arial" w:hAnsi="Arial" w:cs="Arial"/>
                <w:sz w:val="20"/>
                <w:szCs w:val="20"/>
              </w:rPr>
              <w:t>13,6</w:t>
            </w:r>
          </w:p>
        </w:tc>
        <w:tc>
          <w:tcPr>
            <w:tcW w:w="1320" w:type="dxa"/>
            <w:vAlign w:val="center"/>
            <w:hideMark/>
          </w:tcPr>
          <w:p w14:paraId="12B66817" w14:textId="77777777" w:rsidR="00EF7A8C" w:rsidRPr="00C62BC1" w:rsidRDefault="00EF7A8C" w:rsidP="00480E99">
            <w:pPr>
              <w:spacing w:before="60" w:after="60" w:line="256" w:lineRule="auto"/>
              <w:ind w:right="410"/>
              <w:jc w:val="right"/>
              <w:rPr>
                <w:rFonts w:ascii="Arial" w:hAnsi="Arial" w:cs="Arial"/>
                <w:bCs/>
                <w:sz w:val="20"/>
                <w:szCs w:val="20"/>
              </w:rPr>
            </w:pPr>
            <w:r w:rsidRPr="00C62BC1">
              <w:rPr>
                <w:rFonts w:ascii="Arial" w:hAnsi="Arial" w:cs="Arial"/>
                <w:sz w:val="20"/>
                <w:szCs w:val="20"/>
              </w:rPr>
              <w:t>14,6</w:t>
            </w:r>
          </w:p>
        </w:tc>
      </w:tr>
      <w:tr w:rsidR="00951742" w:rsidRPr="00C62BC1" w14:paraId="2707557E" w14:textId="77777777" w:rsidTr="00480E99">
        <w:trPr>
          <w:cantSplit/>
          <w:trHeight w:val="326"/>
          <w:jc w:val="center"/>
        </w:trPr>
        <w:tc>
          <w:tcPr>
            <w:tcW w:w="3021" w:type="dxa"/>
            <w:vAlign w:val="center"/>
            <w:hideMark/>
          </w:tcPr>
          <w:p w14:paraId="481506BC" w14:textId="77777777" w:rsidR="00EF7A8C" w:rsidRPr="00C62BC1" w:rsidRDefault="00EF7A8C" w:rsidP="00480E99">
            <w:pPr>
              <w:spacing w:before="60" w:after="60" w:line="256" w:lineRule="auto"/>
              <w:ind w:firstLine="317"/>
              <w:rPr>
                <w:rFonts w:ascii="Arial" w:hAnsi="Arial" w:cs="Arial"/>
                <w:sz w:val="20"/>
                <w:szCs w:val="20"/>
              </w:rPr>
            </w:pPr>
            <w:r w:rsidRPr="00C62BC1">
              <w:rPr>
                <w:rFonts w:ascii="Arial" w:hAnsi="Arial" w:cs="Arial"/>
                <w:bCs/>
                <w:sz w:val="20"/>
                <w:szCs w:val="20"/>
              </w:rPr>
              <w:t>Du lịch lữ hành</w:t>
            </w:r>
          </w:p>
        </w:tc>
        <w:tc>
          <w:tcPr>
            <w:tcW w:w="1437" w:type="dxa"/>
            <w:vAlign w:val="center"/>
            <w:hideMark/>
          </w:tcPr>
          <w:p w14:paraId="69B02E4A" w14:textId="77777777" w:rsidR="00EF7A8C" w:rsidRPr="00C62BC1" w:rsidRDefault="00EF7A8C" w:rsidP="00480E99">
            <w:pPr>
              <w:spacing w:before="60" w:after="60" w:line="256" w:lineRule="auto"/>
              <w:ind w:right="281"/>
              <w:jc w:val="right"/>
              <w:rPr>
                <w:rFonts w:ascii="Arial" w:hAnsi="Arial" w:cs="Arial"/>
                <w:bCs/>
                <w:sz w:val="20"/>
                <w:szCs w:val="20"/>
              </w:rPr>
            </w:pPr>
            <w:r w:rsidRPr="00C62BC1">
              <w:rPr>
                <w:rFonts w:ascii="Arial" w:hAnsi="Arial" w:cs="Arial"/>
                <w:sz w:val="20"/>
                <w:szCs w:val="20"/>
              </w:rPr>
              <w:t>7,9</w:t>
            </w:r>
          </w:p>
        </w:tc>
        <w:tc>
          <w:tcPr>
            <w:tcW w:w="1592" w:type="dxa"/>
            <w:vAlign w:val="center"/>
            <w:hideMark/>
          </w:tcPr>
          <w:p w14:paraId="26ECBE7A" w14:textId="77777777" w:rsidR="00EF7A8C" w:rsidRPr="00C62BC1" w:rsidRDefault="00EF7A8C" w:rsidP="00480E99">
            <w:pPr>
              <w:spacing w:before="60" w:after="60" w:line="256" w:lineRule="auto"/>
              <w:ind w:right="330"/>
              <w:jc w:val="right"/>
              <w:rPr>
                <w:rFonts w:ascii="Arial" w:hAnsi="Arial" w:cs="Arial"/>
                <w:bCs/>
                <w:sz w:val="20"/>
                <w:szCs w:val="20"/>
              </w:rPr>
            </w:pPr>
            <w:r w:rsidRPr="00C62BC1">
              <w:rPr>
                <w:rFonts w:ascii="Arial" w:hAnsi="Arial" w:cs="Arial"/>
                <w:sz w:val="20"/>
                <w:szCs w:val="20"/>
              </w:rPr>
              <w:t>85,4</w:t>
            </w:r>
          </w:p>
        </w:tc>
        <w:tc>
          <w:tcPr>
            <w:tcW w:w="1690" w:type="dxa"/>
            <w:vAlign w:val="center"/>
            <w:hideMark/>
          </w:tcPr>
          <w:p w14:paraId="63540FE1" w14:textId="77777777" w:rsidR="00EF7A8C" w:rsidRPr="00C62BC1" w:rsidRDefault="00EF7A8C" w:rsidP="00480E99">
            <w:pPr>
              <w:spacing w:before="60" w:after="60" w:line="256" w:lineRule="auto"/>
              <w:ind w:right="486"/>
              <w:jc w:val="right"/>
              <w:rPr>
                <w:rFonts w:ascii="Arial" w:hAnsi="Arial" w:cs="Arial"/>
                <w:bCs/>
                <w:sz w:val="20"/>
                <w:szCs w:val="20"/>
              </w:rPr>
            </w:pPr>
            <w:r w:rsidRPr="00C62BC1">
              <w:rPr>
                <w:rFonts w:ascii="Arial" w:hAnsi="Arial" w:cs="Arial"/>
                <w:sz w:val="20"/>
                <w:szCs w:val="20"/>
              </w:rPr>
              <w:t>19,1</w:t>
            </w:r>
          </w:p>
        </w:tc>
        <w:tc>
          <w:tcPr>
            <w:tcW w:w="1320" w:type="dxa"/>
            <w:vAlign w:val="center"/>
            <w:hideMark/>
          </w:tcPr>
          <w:p w14:paraId="2AF22878" w14:textId="77777777" w:rsidR="00EF7A8C" w:rsidRPr="00C62BC1" w:rsidRDefault="00EF7A8C" w:rsidP="00480E99">
            <w:pPr>
              <w:spacing w:before="60" w:after="60" w:line="256" w:lineRule="auto"/>
              <w:ind w:right="410"/>
              <w:jc w:val="right"/>
              <w:rPr>
                <w:rFonts w:ascii="Arial" w:hAnsi="Arial" w:cs="Arial"/>
                <w:bCs/>
                <w:sz w:val="20"/>
                <w:szCs w:val="20"/>
              </w:rPr>
            </w:pPr>
            <w:r w:rsidRPr="00C62BC1">
              <w:rPr>
                <w:rFonts w:ascii="Arial" w:hAnsi="Arial" w:cs="Arial"/>
                <w:sz w:val="20"/>
                <w:szCs w:val="20"/>
              </w:rPr>
              <w:t>19,9</w:t>
            </w:r>
          </w:p>
        </w:tc>
      </w:tr>
      <w:tr w:rsidR="00951742" w:rsidRPr="00C62BC1" w14:paraId="7F88C7B6" w14:textId="77777777" w:rsidTr="00480E99">
        <w:trPr>
          <w:cantSplit/>
          <w:trHeight w:val="326"/>
          <w:jc w:val="center"/>
        </w:trPr>
        <w:tc>
          <w:tcPr>
            <w:tcW w:w="3021" w:type="dxa"/>
            <w:tcBorders>
              <w:top w:val="nil"/>
              <w:left w:val="nil"/>
              <w:bottom w:val="single" w:sz="4" w:space="0" w:color="auto"/>
              <w:right w:val="nil"/>
            </w:tcBorders>
            <w:vAlign w:val="center"/>
            <w:hideMark/>
          </w:tcPr>
          <w:p w14:paraId="5F678AB4" w14:textId="77777777" w:rsidR="00EF7A8C" w:rsidRPr="00C62BC1" w:rsidRDefault="00EF7A8C" w:rsidP="00480E99">
            <w:pPr>
              <w:spacing w:before="60" w:after="60" w:line="256" w:lineRule="auto"/>
              <w:ind w:firstLine="317"/>
              <w:rPr>
                <w:rFonts w:ascii="Arial" w:hAnsi="Arial" w:cs="Arial"/>
                <w:sz w:val="20"/>
                <w:szCs w:val="20"/>
              </w:rPr>
            </w:pPr>
            <w:r w:rsidRPr="00C62BC1">
              <w:rPr>
                <w:rFonts w:ascii="Arial" w:hAnsi="Arial" w:cs="Arial"/>
                <w:bCs/>
                <w:sz w:val="20"/>
                <w:szCs w:val="20"/>
              </w:rPr>
              <w:t>Dịch vụ khác</w:t>
            </w:r>
          </w:p>
        </w:tc>
        <w:tc>
          <w:tcPr>
            <w:tcW w:w="1437" w:type="dxa"/>
            <w:tcBorders>
              <w:top w:val="nil"/>
              <w:left w:val="nil"/>
              <w:bottom w:val="single" w:sz="4" w:space="0" w:color="auto"/>
              <w:right w:val="nil"/>
            </w:tcBorders>
            <w:vAlign w:val="center"/>
            <w:hideMark/>
          </w:tcPr>
          <w:p w14:paraId="2241039E" w14:textId="77777777" w:rsidR="00EF7A8C" w:rsidRPr="00C62BC1" w:rsidRDefault="00EF7A8C" w:rsidP="00480E99">
            <w:pPr>
              <w:spacing w:before="60" w:after="60" w:line="256" w:lineRule="auto"/>
              <w:ind w:right="281"/>
              <w:jc w:val="right"/>
              <w:rPr>
                <w:rFonts w:ascii="Arial" w:hAnsi="Arial" w:cs="Arial"/>
                <w:bCs/>
                <w:sz w:val="20"/>
                <w:szCs w:val="20"/>
              </w:rPr>
            </w:pPr>
            <w:r w:rsidRPr="00C62BC1">
              <w:rPr>
                <w:rFonts w:ascii="Arial" w:hAnsi="Arial" w:cs="Arial"/>
                <w:sz w:val="20"/>
                <w:szCs w:val="20"/>
              </w:rPr>
              <w:t>65,8</w:t>
            </w:r>
          </w:p>
        </w:tc>
        <w:tc>
          <w:tcPr>
            <w:tcW w:w="1592" w:type="dxa"/>
            <w:tcBorders>
              <w:top w:val="nil"/>
              <w:left w:val="nil"/>
              <w:bottom w:val="single" w:sz="4" w:space="0" w:color="auto"/>
              <w:right w:val="nil"/>
            </w:tcBorders>
            <w:vAlign w:val="center"/>
            <w:hideMark/>
          </w:tcPr>
          <w:p w14:paraId="33349147" w14:textId="77777777" w:rsidR="00EF7A8C" w:rsidRPr="00C62BC1" w:rsidRDefault="00EF7A8C" w:rsidP="00480E99">
            <w:pPr>
              <w:spacing w:before="60" w:after="60" w:line="256" w:lineRule="auto"/>
              <w:ind w:right="330"/>
              <w:jc w:val="right"/>
              <w:rPr>
                <w:rFonts w:ascii="Arial" w:hAnsi="Arial" w:cs="Arial"/>
                <w:bCs/>
                <w:sz w:val="20"/>
                <w:szCs w:val="20"/>
              </w:rPr>
            </w:pPr>
            <w:r w:rsidRPr="00C62BC1">
              <w:rPr>
                <w:rFonts w:ascii="Arial" w:hAnsi="Arial" w:cs="Arial"/>
                <w:sz w:val="20"/>
                <w:szCs w:val="20"/>
              </w:rPr>
              <w:t>665,5</w:t>
            </w:r>
          </w:p>
        </w:tc>
        <w:tc>
          <w:tcPr>
            <w:tcW w:w="1690" w:type="dxa"/>
            <w:tcBorders>
              <w:top w:val="nil"/>
              <w:left w:val="nil"/>
              <w:bottom w:val="single" w:sz="4" w:space="0" w:color="auto"/>
              <w:right w:val="nil"/>
            </w:tcBorders>
            <w:vAlign w:val="center"/>
            <w:hideMark/>
          </w:tcPr>
          <w:p w14:paraId="02B61236" w14:textId="77777777" w:rsidR="00EF7A8C" w:rsidRPr="00C62BC1" w:rsidRDefault="00EF7A8C" w:rsidP="00480E99">
            <w:pPr>
              <w:spacing w:before="60" w:after="60" w:line="256" w:lineRule="auto"/>
              <w:ind w:right="486"/>
              <w:jc w:val="right"/>
              <w:rPr>
                <w:rFonts w:ascii="Arial" w:hAnsi="Arial" w:cs="Arial"/>
                <w:bCs/>
                <w:sz w:val="20"/>
                <w:szCs w:val="20"/>
              </w:rPr>
            </w:pPr>
            <w:r w:rsidRPr="00C62BC1">
              <w:rPr>
                <w:rFonts w:ascii="Arial" w:hAnsi="Arial" w:cs="Arial"/>
                <w:sz w:val="20"/>
                <w:szCs w:val="20"/>
              </w:rPr>
              <w:t>7,2</w:t>
            </w:r>
          </w:p>
        </w:tc>
        <w:tc>
          <w:tcPr>
            <w:tcW w:w="1320" w:type="dxa"/>
            <w:tcBorders>
              <w:top w:val="nil"/>
              <w:left w:val="nil"/>
              <w:bottom w:val="single" w:sz="4" w:space="0" w:color="auto"/>
              <w:right w:val="nil"/>
            </w:tcBorders>
            <w:vAlign w:val="center"/>
            <w:hideMark/>
          </w:tcPr>
          <w:p w14:paraId="1DE544B0" w14:textId="77777777" w:rsidR="00EF7A8C" w:rsidRPr="00C62BC1" w:rsidRDefault="00EF7A8C" w:rsidP="00480E99">
            <w:pPr>
              <w:spacing w:before="60" w:after="60" w:line="256" w:lineRule="auto"/>
              <w:ind w:right="410"/>
              <w:jc w:val="right"/>
              <w:rPr>
                <w:rFonts w:ascii="Arial" w:hAnsi="Arial" w:cs="Arial"/>
                <w:bCs/>
                <w:sz w:val="20"/>
                <w:szCs w:val="20"/>
              </w:rPr>
            </w:pPr>
            <w:r w:rsidRPr="00C62BC1">
              <w:rPr>
                <w:rFonts w:ascii="Arial" w:hAnsi="Arial" w:cs="Arial"/>
                <w:sz w:val="20"/>
                <w:szCs w:val="20"/>
              </w:rPr>
              <w:t>11,2</w:t>
            </w:r>
          </w:p>
        </w:tc>
      </w:tr>
    </w:tbl>
    <w:p w14:paraId="3D6295AA" w14:textId="77777777" w:rsidR="00EF7A8C" w:rsidRPr="00C62BC1" w:rsidRDefault="00EF7A8C" w:rsidP="00EF7A8C">
      <w:pPr>
        <w:spacing w:before="120" w:after="120" w:line="264" w:lineRule="auto"/>
        <w:ind w:firstLine="720"/>
        <w:jc w:val="both"/>
        <w:rPr>
          <w:rFonts w:ascii="Arial" w:hAnsi="Arial" w:cs="Arial"/>
          <w:b/>
          <w:bCs/>
          <w:sz w:val="24"/>
          <w:szCs w:val="24"/>
        </w:rPr>
      </w:pPr>
      <w:r w:rsidRPr="00C62BC1">
        <w:rPr>
          <w:rFonts w:eastAsia="Calibri"/>
          <w:bCs/>
          <w:spacing w:val="2"/>
        </w:rPr>
        <w:t>Tính chung mười một tháng năm 2025, tổng mức bán lẻ hàng hóa và doanh thu dịch vụ tiêu dùng theo giá hiện hành ước đạt 6.377,7 nghìn tỷ đồng, tăng 9,1% so với cùng kỳ năm trước (cùng kỳ năm 2024 tăng 8,9%), nếu loại trừ yếu tố giá tăng 6,8% (cùng kỳ năm 2024 tăng 5,8%).</w:t>
      </w:r>
    </w:p>
    <w:p w14:paraId="0A14810A" w14:textId="6AA54D1E" w:rsidR="00EF7A8C" w:rsidRPr="00C62BC1" w:rsidRDefault="00EF7A8C" w:rsidP="00EF7A8C">
      <w:pPr>
        <w:spacing w:before="120" w:after="120"/>
        <w:jc w:val="center"/>
        <w:rPr>
          <w:rFonts w:ascii="Arial" w:hAnsi="Arial" w:cs="Arial"/>
          <w:b/>
          <w:bCs/>
          <w:sz w:val="24"/>
          <w:szCs w:val="24"/>
        </w:rPr>
      </w:pPr>
      <w:r w:rsidRPr="00C62BC1">
        <w:rPr>
          <w:rFonts w:ascii="Arial" w:hAnsi="Arial" w:cs="Arial"/>
          <w:b/>
          <w:bCs/>
          <w:sz w:val="24"/>
          <w:szCs w:val="24"/>
        </w:rPr>
        <w:t>Hình 10. Tổng mức bán lẻ hàng hóa và doanh thu dịch vụ tiêu dùng</w:t>
      </w:r>
      <w:r w:rsidRPr="00C62BC1">
        <w:rPr>
          <w:rFonts w:ascii="Arial" w:hAnsi="Arial" w:cs="Arial"/>
          <w:b/>
          <w:bCs/>
          <w:sz w:val="24"/>
          <w:szCs w:val="24"/>
        </w:rPr>
        <w:br/>
        <w:t>theo giá hiện hành mười một tháng giai đoạn 2021-2025</w:t>
      </w:r>
    </w:p>
    <w:p w14:paraId="4FA70DC9" w14:textId="77777777" w:rsidR="00EF7A8C" w:rsidRPr="00C62BC1" w:rsidRDefault="00EF7A8C" w:rsidP="00EF7A8C">
      <w:pPr>
        <w:spacing w:before="120" w:after="120"/>
        <w:jc w:val="center"/>
        <w:rPr>
          <w:rFonts w:ascii="Arial" w:hAnsi="Arial" w:cs="Arial"/>
          <w:b/>
          <w:bCs/>
          <w:sz w:val="24"/>
          <w:szCs w:val="24"/>
        </w:rPr>
      </w:pPr>
      <w:r w:rsidRPr="00C62BC1">
        <w:rPr>
          <w:rFonts w:ascii="Arial" w:hAnsi="Arial" w:cs="Arial"/>
          <w:b/>
          <w:bCs/>
          <w:noProof/>
          <w:sz w:val="24"/>
          <w:szCs w:val="24"/>
        </w:rPr>
        <w:drawing>
          <wp:inline distT="0" distB="0" distL="0" distR="0" wp14:anchorId="1BF41141" wp14:editId="5BB67FE8">
            <wp:extent cx="5401310" cy="2337192"/>
            <wp:effectExtent l="0" t="0" r="0" b="6350"/>
            <wp:docPr id="832862319" name="Picture 6" descr="A graph with orange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862319" name="Picture 6" descr="A graph with orange and blue lines&#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7248" cy="2339761"/>
                    </a:xfrm>
                    <a:prstGeom prst="rect">
                      <a:avLst/>
                    </a:prstGeom>
                    <a:noFill/>
                  </pic:spPr>
                </pic:pic>
              </a:graphicData>
            </a:graphic>
          </wp:inline>
        </w:drawing>
      </w:r>
    </w:p>
    <w:p w14:paraId="56C8B7DA" w14:textId="77777777" w:rsidR="00EF7A8C" w:rsidRPr="00C62BC1" w:rsidRDefault="00EF7A8C" w:rsidP="00C62BC1">
      <w:pPr>
        <w:spacing w:after="120" w:line="264" w:lineRule="auto"/>
        <w:ind w:firstLine="720"/>
        <w:jc w:val="both"/>
        <w:rPr>
          <w:bCs/>
          <w:shd w:val="clear" w:color="auto" w:fill="FFFFFF"/>
        </w:rPr>
      </w:pPr>
      <w:r w:rsidRPr="00C62BC1">
        <w:rPr>
          <w:rFonts w:eastAsia="Calibri"/>
          <w:bCs/>
          <w:i/>
        </w:rPr>
        <w:lastRenderedPageBreak/>
        <w:t xml:space="preserve">Doanh thu bán lẻ hàng hóa </w:t>
      </w:r>
      <w:r w:rsidRPr="00C62BC1">
        <w:rPr>
          <w:rFonts w:eastAsia="Calibri"/>
          <w:bCs/>
          <w:iCs/>
        </w:rPr>
        <w:t xml:space="preserve">mười một tháng </w:t>
      </w:r>
      <w:r w:rsidRPr="00C62BC1">
        <w:rPr>
          <w:rFonts w:eastAsia="Calibri"/>
          <w:bCs/>
        </w:rPr>
        <w:t xml:space="preserve">năm 2025 ước đạt 4.859,0 nghìn tỷ đồng, </w:t>
      </w:r>
      <w:r w:rsidRPr="00C62BC1">
        <w:rPr>
          <w:rFonts w:eastAsia="Calibri"/>
          <w:bCs/>
          <w:shd w:val="clear" w:color="auto" w:fill="FFFFFF"/>
        </w:rPr>
        <w:t>chiếm 76,2% tổng mức và</w:t>
      </w:r>
      <w:r w:rsidRPr="00C62BC1">
        <w:rPr>
          <w:rFonts w:eastAsia="Calibri"/>
          <w:bCs/>
        </w:rPr>
        <w:t xml:space="preserve"> </w:t>
      </w:r>
      <w:r w:rsidRPr="00C62BC1">
        <w:rPr>
          <w:rFonts w:eastAsia="Calibri"/>
          <w:bCs/>
          <w:shd w:val="clear" w:color="auto" w:fill="FFFFFF"/>
        </w:rPr>
        <w:t xml:space="preserve">tăng 7,9% so với cùng kỳ năm trước. Trong đó, nhóm hàng lương thực, thực phẩm tăng 9,6% so với cùng kỳ năm trước; hàng may mặc tăng 8,5%; đồ dùng, dụng cụ, trang thiết bị gia đình tăng 7,8%; vật phẩm văn hoá, giáo dục tăng 5,1%. Doanh thu bán lẻ hàng hóa mười một tháng năm 2025 </w:t>
      </w:r>
      <w:r w:rsidRPr="00C62BC1">
        <w:rPr>
          <w:bCs/>
          <w:shd w:val="clear" w:color="auto" w:fill="FFFFFF"/>
        </w:rPr>
        <w:t>so với cùng kỳ năm trước của một số địa phương như sau</w:t>
      </w:r>
      <w:r w:rsidRPr="00C62BC1">
        <w:rPr>
          <w:rFonts w:eastAsia="Calibri"/>
          <w:bCs/>
          <w:shd w:val="clear" w:color="auto" w:fill="FFFFFF"/>
        </w:rPr>
        <w:t xml:space="preserve">: </w:t>
      </w:r>
      <w:r w:rsidRPr="00C62BC1">
        <w:rPr>
          <w:rFonts w:eastAsia="Calibri"/>
          <w:lang w:val="vi-VN"/>
        </w:rPr>
        <w:t>An Giang tăng 9,9%; Đồng Nai tăng 7,9%; Ninh Bình tăng 7,7%; Nghệ An tăng 7,4%; Thanh Hóa tăng 7,1%.</w:t>
      </w:r>
      <w:r w:rsidRPr="00C62BC1">
        <w:rPr>
          <w:rFonts w:eastAsia="Calibri"/>
        </w:rPr>
        <w:t xml:space="preserve"> </w:t>
      </w:r>
    </w:p>
    <w:p w14:paraId="6D420C3F" w14:textId="77777777" w:rsidR="00EF7A8C" w:rsidRPr="00C62BC1" w:rsidRDefault="00EF7A8C" w:rsidP="00C62BC1">
      <w:pPr>
        <w:spacing w:after="120" w:line="264" w:lineRule="auto"/>
        <w:ind w:firstLine="720"/>
        <w:jc w:val="both"/>
        <w:rPr>
          <w:rFonts w:eastAsia="Calibri"/>
          <w:iCs/>
          <w:lang w:val="pl-PL"/>
        </w:rPr>
      </w:pPr>
      <w:r w:rsidRPr="00C62BC1">
        <w:rPr>
          <w:bCs/>
          <w:i/>
          <w:iCs/>
          <w:spacing w:val="-4"/>
          <w:shd w:val="clear" w:color="auto" w:fill="FFFFFF"/>
        </w:rPr>
        <w:t>Doanh thu dịch vụ lưu trú, ăn uống</w:t>
      </w:r>
      <w:r w:rsidRPr="00C62BC1">
        <w:rPr>
          <w:bCs/>
          <w:spacing w:val="-4"/>
          <w:shd w:val="clear" w:color="auto" w:fill="FFFFFF"/>
        </w:rPr>
        <w:t xml:space="preserve"> mười một tháng năm 2025 ước đạt 767,8 nghìn tỷ đồng, chiếm 12,0% tổng mức và tăng 14,6% so với cùng kỳ năm trước. Doanh thu mười một tháng năm 2025 so với cùng kỳ năm trước của một số địa phương như sau: </w:t>
      </w:r>
      <w:r w:rsidRPr="00C62BC1">
        <w:rPr>
          <w:rFonts w:eastAsia="Calibri"/>
          <w:iCs/>
          <w:lang w:val="pl-PL"/>
        </w:rPr>
        <w:t>Thành phố Hồ Chí Minh tăng 17,3%; Đà Nẵng tăng 15,8%; Hà Nội tăng 13,4%; Cần Thơ tăng 12,2%; Hải Phòng tăng 11,6%.</w:t>
      </w:r>
    </w:p>
    <w:p w14:paraId="19DCB5DD" w14:textId="77777777" w:rsidR="00EF7A8C" w:rsidRPr="00C62BC1" w:rsidRDefault="00EF7A8C" w:rsidP="00C62BC1">
      <w:pPr>
        <w:spacing w:after="120" w:line="264" w:lineRule="auto"/>
        <w:ind w:firstLine="720"/>
        <w:jc w:val="both"/>
        <w:rPr>
          <w:lang w:val="pl-PL"/>
        </w:rPr>
      </w:pPr>
      <w:r w:rsidRPr="00C62BC1">
        <w:rPr>
          <w:bCs/>
          <w:i/>
          <w:shd w:val="clear" w:color="auto" w:fill="FFFFFF"/>
          <w:lang w:val="pl-PL"/>
        </w:rPr>
        <w:t>Doanh thu du lịch lữ hành</w:t>
      </w:r>
      <w:r w:rsidRPr="00C62BC1">
        <w:rPr>
          <w:bCs/>
          <w:shd w:val="clear" w:color="auto" w:fill="FFFFFF"/>
          <w:lang w:val="pl-PL"/>
        </w:rPr>
        <w:t xml:space="preserve"> mười một tháng năm 2025 ước đạt 85,4 nghìn tỷ đồng, chiếm 1,4% tổng mức và tăng 19,9% so với cùng kỳ năm trước do ngay từ đầu năm các địa phương đã triển khai hiệu quả nhiều chương trình kích cầu du lịch và đa dạng hóa các sản phẩm du lịch phù hợp với nhu cầu của người tiêu dùng</w:t>
      </w:r>
      <w:r w:rsidRPr="00C62BC1">
        <w:rPr>
          <w:shd w:val="clear" w:color="auto" w:fill="FFFFFF"/>
          <w:lang w:val="pl-PL"/>
        </w:rPr>
        <w:t xml:space="preserve">. </w:t>
      </w:r>
      <w:r w:rsidRPr="00C62BC1">
        <w:rPr>
          <w:bCs/>
          <w:shd w:val="clear" w:color="auto" w:fill="FFFFFF"/>
          <w:lang w:val="pl-PL"/>
        </w:rPr>
        <w:t>D</w:t>
      </w:r>
      <w:r w:rsidRPr="00C62BC1">
        <w:rPr>
          <w:shd w:val="clear" w:color="auto" w:fill="FFFFFF"/>
          <w:lang w:val="pl-PL"/>
        </w:rPr>
        <w:t>oanh</w:t>
      </w:r>
      <w:r w:rsidRPr="00C62BC1">
        <w:rPr>
          <w:bCs/>
          <w:shd w:val="clear" w:color="auto" w:fill="FFFFFF"/>
          <w:lang w:val="pl-PL"/>
        </w:rPr>
        <w:t xml:space="preserve"> thu mười một tháng năm 2025 so với cùng kỳ năm trước của một số địa phương như sau: </w:t>
      </w:r>
      <w:r w:rsidRPr="00C62BC1">
        <w:rPr>
          <w:lang w:val="pl-PL"/>
        </w:rPr>
        <w:t>Hà Nội tăng 23,4%; Thành phố Hồ Chí Minh tăng 22,3%; Quảng Ninh tăng 18,2%; Vĩnh Long tăng 14,1%; Đà Nẵng tăng 13,2%.</w:t>
      </w:r>
    </w:p>
    <w:p w14:paraId="4339A532" w14:textId="77777777" w:rsidR="00EF7A8C" w:rsidRPr="00C62BC1" w:rsidRDefault="00EF7A8C" w:rsidP="00C62BC1">
      <w:pPr>
        <w:spacing w:after="120" w:line="264" w:lineRule="auto"/>
        <w:ind w:firstLine="720"/>
        <w:jc w:val="both"/>
        <w:rPr>
          <w:lang w:val="pl-PL"/>
        </w:rPr>
      </w:pPr>
      <w:r w:rsidRPr="00C62BC1">
        <w:rPr>
          <w:rFonts w:eastAsia="Calibri"/>
          <w:i/>
          <w:lang w:val="pl-PL"/>
        </w:rPr>
        <w:t>D</w:t>
      </w:r>
      <w:r w:rsidRPr="00C62BC1">
        <w:rPr>
          <w:rFonts w:eastAsia="Calibri"/>
          <w:bCs/>
          <w:i/>
          <w:lang w:val="pl-PL"/>
        </w:rPr>
        <w:t>oanh thu dịch vụ khác</w:t>
      </w:r>
      <w:r w:rsidRPr="00C62BC1">
        <w:rPr>
          <w:rFonts w:eastAsia="Calibri"/>
          <w:lang w:val="pl-PL"/>
        </w:rPr>
        <w:t xml:space="preserve"> mười một tháng năm 2025 ước đạt 665,5 nghìn tỷ đồng, chiếm 10,4% tổng mức và tăng 11,2% so với cùng kỳ năm trước. D</w:t>
      </w:r>
      <w:r w:rsidRPr="00C62BC1">
        <w:rPr>
          <w:rFonts w:eastAsia="Calibri"/>
          <w:bCs/>
          <w:shd w:val="clear" w:color="auto" w:fill="FFFFFF"/>
          <w:lang w:val="pl-PL"/>
        </w:rPr>
        <w:t>oanh thu mười một tháng năm 2025 so với cùng kỳ năm trước của một số địa phương như sau</w:t>
      </w:r>
      <w:r w:rsidRPr="00C62BC1">
        <w:rPr>
          <w:rFonts w:eastAsia="Calibri"/>
          <w:lang w:val="pl-PL"/>
        </w:rPr>
        <w:t xml:space="preserve">: </w:t>
      </w:r>
      <w:r w:rsidRPr="00C62BC1">
        <w:rPr>
          <w:lang w:val="pl-PL"/>
        </w:rPr>
        <w:t>Hải Phòng tăng 16,2%; Vĩnh Long tăng 14,6%; Quảng Ninh tăng 11,9%; Cà Mau tăng 11,5%; Hà Tĩnh tăng 10,9%; Thành phố Hồ Chí Minh tăng 10,7%; Hà Nội tăng 8,2%.</w:t>
      </w:r>
    </w:p>
    <w:bookmarkEnd w:id="1"/>
    <w:p w14:paraId="39562210" w14:textId="77777777" w:rsidR="007F367F" w:rsidRPr="00C62BC1" w:rsidRDefault="007F367F" w:rsidP="00C62BC1">
      <w:pPr>
        <w:tabs>
          <w:tab w:val="num" w:pos="0"/>
          <w:tab w:val="left" w:pos="9475"/>
        </w:tabs>
        <w:spacing w:after="120" w:line="264" w:lineRule="auto"/>
        <w:ind w:firstLine="720"/>
        <w:jc w:val="both"/>
        <w:rPr>
          <w:rStyle w:val="Strong"/>
          <w:rFonts w:eastAsia="Calibri"/>
          <w:i/>
          <w:iCs/>
          <w:lang w:val="de-DE"/>
        </w:rPr>
      </w:pPr>
      <w:r w:rsidRPr="00C62BC1">
        <w:rPr>
          <w:rStyle w:val="Strong"/>
          <w:rFonts w:eastAsia="Calibri"/>
          <w:i/>
          <w:iCs/>
          <w:lang w:val="de-DE"/>
        </w:rPr>
        <w:t>b) Xuất, nhập khẩu hàng hóa</w:t>
      </w:r>
      <w:r w:rsidRPr="00C62BC1">
        <w:rPr>
          <w:b/>
          <w:bCs/>
          <w:i/>
          <w:iCs/>
          <w:vertAlign w:val="superscript"/>
          <w:lang w:val="de-DE"/>
        </w:rPr>
        <w:footnoteReference w:id="19"/>
      </w:r>
      <w:r w:rsidRPr="00C62BC1">
        <w:rPr>
          <w:rStyle w:val="Strong"/>
          <w:rFonts w:eastAsia="Calibri"/>
          <w:i/>
          <w:iCs/>
          <w:lang w:val="de-DE"/>
        </w:rPr>
        <w:t xml:space="preserve"> </w:t>
      </w:r>
    </w:p>
    <w:p w14:paraId="386585A6" w14:textId="77777777" w:rsidR="007F367F" w:rsidRPr="00C62BC1" w:rsidRDefault="007F367F" w:rsidP="00C62BC1">
      <w:pPr>
        <w:tabs>
          <w:tab w:val="num" w:pos="0"/>
          <w:tab w:val="left" w:pos="9475"/>
        </w:tabs>
        <w:spacing w:after="120" w:line="264" w:lineRule="auto"/>
        <w:ind w:firstLine="720"/>
        <w:jc w:val="both"/>
        <w:rPr>
          <w:rFonts w:ascii="Times New Roman Italic" w:hAnsi="Times New Roman Italic"/>
          <w:i/>
          <w:lang w:val="de-DE"/>
        </w:rPr>
      </w:pPr>
      <w:r w:rsidRPr="00C62BC1">
        <w:rPr>
          <w:i/>
          <w:lang w:val="de-DE"/>
        </w:rPr>
        <w:t>Trong th</w:t>
      </w:r>
      <w:r w:rsidRPr="00C62BC1">
        <w:rPr>
          <w:rFonts w:hint="eastAsia"/>
          <w:i/>
          <w:lang w:val="de-DE"/>
        </w:rPr>
        <w:t>á</w:t>
      </w:r>
      <w:r w:rsidRPr="00C62BC1">
        <w:rPr>
          <w:i/>
          <w:lang w:val="de-DE"/>
        </w:rPr>
        <w:t>ng M</w:t>
      </w:r>
      <w:r w:rsidRPr="00C62BC1">
        <w:rPr>
          <w:rFonts w:hint="eastAsia"/>
          <w:i/>
          <w:lang w:val="de-DE"/>
        </w:rPr>
        <w:t>ư</w:t>
      </w:r>
      <w:r w:rsidRPr="00C62BC1">
        <w:rPr>
          <w:i/>
          <w:lang w:val="de-DE"/>
        </w:rPr>
        <w:t>ời Một, tổng kim ngạch xuất, nhập khẩu h</w:t>
      </w:r>
      <w:r w:rsidRPr="00C62BC1">
        <w:rPr>
          <w:rFonts w:hint="eastAsia"/>
          <w:i/>
          <w:lang w:val="de-DE"/>
        </w:rPr>
        <w:t>à</w:t>
      </w:r>
      <w:r w:rsidRPr="00C62BC1">
        <w:rPr>
          <w:i/>
          <w:lang w:val="de-DE"/>
        </w:rPr>
        <w:t>ng h</w:t>
      </w:r>
      <w:r w:rsidRPr="00C62BC1">
        <w:rPr>
          <w:rFonts w:hint="eastAsia"/>
          <w:i/>
          <w:lang w:val="de-DE"/>
        </w:rPr>
        <w:t>ó</w:t>
      </w:r>
      <w:r w:rsidRPr="00C62BC1">
        <w:rPr>
          <w:i/>
          <w:lang w:val="de-DE"/>
        </w:rPr>
        <w:t>a</w:t>
      </w:r>
      <w:bookmarkStart w:id="2" w:name="_Hlk213089801"/>
      <w:r w:rsidRPr="00C62BC1">
        <w:rPr>
          <w:b/>
          <w:bCs/>
          <w:i/>
          <w:iCs/>
          <w:vertAlign w:val="superscript"/>
          <w:lang w:val="de-DE"/>
        </w:rPr>
        <w:footnoteReference w:id="20"/>
      </w:r>
      <w:bookmarkEnd w:id="2"/>
      <w:r w:rsidRPr="00C62BC1">
        <w:rPr>
          <w:i/>
          <w:lang w:val="de-DE"/>
        </w:rPr>
        <w:t xml:space="preserve"> </w:t>
      </w:r>
      <w:r w:rsidRPr="00C62BC1">
        <w:rPr>
          <w:rFonts w:hint="eastAsia"/>
          <w:i/>
          <w:lang w:val="de-DE"/>
        </w:rPr>
        <w:t>đ</w:t>
      </w:r>
      <w:r w:rsidRPr="00C62BC1">
        <w:rPr>
          <w:i/>
          <w:lang w:val="de-DE"/>
        </w:rPr>
        <w:t>ạt 77,06 tỷ USD, giảm 5,4% so với th</w:t>
      </w:r>
      <w:r w:rsidRPr="00C62BC1">
        <w:rPr>
          <w:rFonts w:hint="eastAsia"/>
          <w:i/>
          <w:lang w:val="de-DE"/>
        </w:rPr>
        <w:t>á</w:t>
      </w:r>
      <w:r w:rsidRPr="00C62BC1">
        <w:rPr>
          <w:i/>
          <w:lang w:val="de-DE"/>
        </w:rPr>
        <w:t>ng tr</w:t>
      </w:r>
      <w:r w:rsidRPr="00C62BC1">
        <w:rPr>
          <w:rFonts w:hint="eastAsia"/>
          <w:i/>
          <w:lang w:val="de-DE"/>
        </w:rPr>
        <w:t>ư</w:t>
      </w:r>
      <w:r w:rsidRPr="00C62BC1">
        <w:rPr>
          <w:i/>
          <w:lang w:val="de-DE"/>
        </w:rPr>
        <w:t>ớc v</w:t>
      </w:r>
      <w:r w:rsidRPr="00C62BC1">
        <w:rPr>
          <w:rFonts w:hint="eastAsia"/>
          <w:i/>
          <w:lang w:val="de-DE"/>
        </w:rPr>
        <w:t>à</w:t>
      </w:r>
      <w:r w:rsidRPr="00C62BC1">
        <w:rPr>
          <w:i/>
          <w:lang w:val="de-DE"/>
        </w:rPr>
        <w:t xml:space="preserve"> t</w:t>
      </w:r>
      <w:r w:rsidRPr="00C62BC1">
        <w:rPr>
          <w:rFonts w:hint="eastAsia"/>
          <w:i/>
          <w:lang w:val="de-DE"/>
        </w:rPr>
        <w:t>ă</w:t>
      </w:r>
      <w:r w:rsidRPr="00C62BC1">
        <w:rPr>
          <w:i/>
          <w:lang w:val="de-DE"/>
        </w:rPr>
        <w:t>ng 15,6% so với c</w:t>
      </w:r>
      <w:r w:rsidRPr="00C62BC1">
        <w:rPr>
          <w:rFonts w:hint="eastAsia"/>
          <w:i/>
          <w:lang w:val="de-DE"/>
        </w:rPr>
        <w:t>ù</w:t>
      </w:r>
      <w:r w:rsidRPr="00C62BC1">
        <w:rPr>
          <w:i/>
          <w:lang w:val="de-DE"/>
        </w:rPr>
        <w:t>ng kỳ n</w:t>
      </w:r>
      <w:r w:rsidRPr="00C62BC1">
        <w:rPr>
          <w:rFonts w:hint="eastAsia"/>
          <w:i/>
          <w:lang w:val="de-DE"/>
        </w:rPr>
        <w:t>ă</w:t>
      </w:r>
      <w:r w:rsidRPr="00C62BC1">
        <w:rPr>
          <w:i/>
          <w:lang w:val="de-DE"/>
        </w:rPr>
        <w:t>m tr</w:t>
      </w:r>
      <w:r w:rsidRPr="00C62BC1">
        <w:rPr>
          <w:rFonts w:hint="eastAsia"/>
          <w:i/>
          <w:lang w:val="de-DE"/>
        </w:rPr>
        <w:t>ư</w:t>
      </w:r>
      <w:r w:rsidRPr="00C62BC1">
        <w:rPr>
          <w:i/>
          <w:lang w:val="de-DE"/>
        </w:rPr>
        <w:t>ớc. T</w:t>
      </w:r>
      <w:r w:rsidRPr="00C62BC1">
        <w:rPr>
          <w:rFonts w:hint="eastAsia"/>
          <w:i/>
          <w:lang w:val="de-DE"/>
        </w:rPr>
        <w:t>í</w:t>
      </w:r>
      <w:r w:rsidRPr="00C62BC1">
        <w:rPr>
          <w:i/>
          <w:lang w:val="de-DE"/>
        </w:rPr>
        <w:t>nh chung m</w:t>
      </w:r>
      <w:r w:rsidRPr="00C62BC1">
        <w:rPr>
          <w:rFonts w:hint="eastAsia"/>
          <w:i/>
          <w:lang w:val="de-DE"/>
        </w:rPr>
        <w:t>ư</w:t>
      </w:r>
      <w:r w:rsidRPr="00C62BC1">
        <w:rPr>
          <w:i/>
          <w:lang w:val="de-DE"/>
        </w:rPr>
        <w:t>ời một th</w:t>
      </w:r>
      <w:r w:rsidRPr="00C62BC1">
        <w:rPr>
          <w:rFonts w:hint="eastAsia"/>
          <w:i/>
          <w:lang w:val="de-DE"/>
        </w:rPr>
        <w:t>á</w:t>
      </w:r>
      <w:r w:rsidRPr="00C62BC1">
        <w:rPr>
          <w:i/>
          <w:lang w:val="de-DE"/>
        </w:rPr>
        <w:t>ng n</w:t>
      </w:r>
      <w:r w:rsidRPr="00C62BC1">
        <w:rPr>
          <w:rFonts w:hint="eastAsia"/>
          <w:i/>
          <w:lang w:val="de-DE"/>
        </w:rPr>
        <w:t>ă</w:t>
      </w:r>
      <w:r w:rsidRPr="00C62BC1">
        <w:rPr>
          <w:i/>
          <w:lang w:val="de-DE"/>
        </w:rPr>
        <w:t>m 2025, tổng kim ngạch xuất, nhập khẩu h</w:t>
      </w:r>
      <w:r w:rsidRPr="00C62BC1">
        <w:rPr>
          <w:rFonts w:hint="eastAsia"/>
          <w:i/>
          <w:lang w:val="de-DE"/>
        </w:rPr>
        <w:t>à</w:t>
      </w:r>
      <w:r w:rsidRPr="00C62BC1">
        <w:rPr>
          <w:i/>
          <w:lang w:val="de-DE"/>
        </w:rPr>
        <w:t>ng h</w:t>
      </w:r>
      <w:r w:rsidRPr="00C62BC1">
        <w:rPr>
          <w:rFonts w:hint="eastAsia"/>
          <w:i/>
          <w:lang w:val="de-DE"/>
        </w:rPr>
        <w:t>ó</w:t>
      </w:r>
      <w:r w:rsidRPr="00C62BC1">
        <w:rPr>
          <w:i/>
          <w:lang w:val="de-DE"/>
        </w:rPr>
        <w:t xml:space="preserve">a </w:t>
      </w:r>
      <w:r w:rsidRPr="00C62BC1">
        <w:rPr>
          <w:rFonts w:hint="eastAsia"/>
          <w:i/>
          <w:lang w:val="de-DE"/>
        </w:rPr>
        <w:t>đ</w:t>
      </w:r>
      <w:r w:rsidRPr="00C62BC1">
        <w:rPr>
          <w:i/>
          <w:lang w:val="de-DE"/>
        </w:rPr>
        <w:t>ạt 839,75 tỷ USD, t</w:t>
      </w:r>
      <w:r w:rsidRPr="00C62BC1">
        <w:rPr>
          <w:rFonts w:hint="eastAsia"/>
          <w:i/>
          <w:lang w:val="de-DE"/>
        </w:rPr>
        <w:t>ă</w:t>
      </w:r>
      <w:r w:rsidRPr="00C62BC1">
        <w:rPr>
          <w:i/>
          <w:lang w:val="de-DE"/>
        </w:rPr>
        <w:t>ng 17,2% so với c</w:t>
      </w:r>
      <w:r w:rsidRPr="00C62BC1">
        <w:rPr>
          <w:rFonts w:hint="eastAsia"/>
          <w:i/>
          <w:lang w:val="de-DE"/>
        </w:rPr>
        <w:t>ù</w:t>
      </w:r>
      <w:r w:rsidRPr="00C62BC1">
        <w:rPr>
          <w:i/>
          <w:lang w:val="de-DE"/>
        </w:rPr>
        <w:t>ng kỳ n</w:t>
      </w:r>
      <w:r w:rsidRPr="00C62BC1">
        <w:rPr>
          <w:rFonts w:hint="eastAsia"/>
          <w:i/>
          <w:lang w:val="de-DE"/>
        </w:rPr>
        <w:t>ă</w:t>
      </w:r>
      <w:r w:rsidRPr="00C62BC1">
        <w:rPr>
          <w:i/>
          <w:lang w:val="de-DE"/>
        </w:rPr>
        <w:t>m tr</w:t>
      </w:r>
      <w:r w:rsidRPr="00C62BC1">
        <w:rPr>
          <w:rFonts w:hint="eastAsia"/>
          <w:i/>
          <w:lang w:val="de-DE"/>
        </w:rPr>
        <w:t>ư</w:t>
      </w:r>
      <w:r w:rsidRPr="00C62BC1">
        <w:rPr>
          <w:i/>
          <w:lang w:val="de-DE"/>
        </w:rPr>
        <w:t xml:space="preserve">ớc, trong </w:t>
      </w:r>
      <w:r w:rsidRPr="00C62BC1">
        <w:rPr>
          <w:rFonts w:hint="eastAsia"/>
          <w:i/>
          <w:lang w:val="de-DE"/>
        </w:rPr>
        <w:t>đó</w:t>
      </w:r>
      <w:r w:rsidRPr="00C62BC1">
        <w:rPr>
          <w:i/>
          <w:lang w:val="de-DE"/>
        </w:rPr>
        <w:t xml:space="preserve"> xuất khẩu t</w:t>
      </w:r>
      <w:r w:rsidRPr="00C62BC1">
        <w:rPr>
          <w:rFonts w:hint="eastAsia"/>
          <w:i/>
          <w:lang w:val="de-DE"/>
        </w:rPr>
        <w:t>ă</w:t>
      </w:r>
      <w:r w:rsidRPr="00C62BC1">
        <w:rPr>
          <w:i/>
          <w:lang w:val="de-DE"/>
        </w:rPr>
        <w:t>ng 16,1%; nhập khẩu t</w:t>
      </w:r>
      <w:r w:rsidRPr="00C62BC1">
        <w:rPr>
          <w:rFonts w:hint="eastAsia"/>
          <w:i/>
          <w:lang w:val="de-DE"/>
        </w:rPr>
        <w:t>ă</w:t>
      </w:r>
      <w:r w:rsidRPr="00C62BC1">
        <w:rPr>
          <w:i/>
          <w:lang w:val="de-DE"/>
        </w:rPr>
        <w:t>ng 18,4%</w:t>
      </w:r>
      <w:bookmarkStart w:id="3" w:name="_Hlk213089840"/>
      <w:r w:rsidRPr="00C62BC1">
        <w:rPr>
          <w:i/>
          <w:vertAlign w:val="superscript"/>
          <w:lang w:val="es-NI"/>
        </w:rPr>
        <w:footnoteReference w:id="21"/>
      </w:r>
      <w:bookmarkEnd w:id="3"/>
      <w:r w:rsidRPr="00C62BC1">
        <w:rPr>
          <w:i/>
          <w:lang w:val="de-DE"/>
        </w:rPr>
        <w:t>. C</w:t>
      </w:r>
      <w:r w:rsidRPr="00C62BC1">
        <w:rPr>
          <w:rFonts w:hint="eastAsia"/>
          <w:i/>
          <w:lang w:val="de-DE"/>
        </w:rPr>
        <w:t>á</w:t>
      </w:r>
      <w:r w:rsidRPr="00C62BC1">
        <w:rPr>
          <w:i/>
          <w:lang w:val="de-DE"/>
        </w:rPr>
        <w:t>n c</w:t>
      </w:r>
      <w:r w:rsidRPr="00C62BC1">
        <w:rPr>
          <w:rFonts w:hint="eastAsia"/>
          <w:i/>
          <w:lang w:val="de-DE"/>
        </w:rPr>
        <w:t>â</w:t>
      </w:r>
      <w:r w:rsidRPr="00C62BC1">
        <w:rPr>
          <w:i/>
          <w:lang w:val="de-DE"/>
        </w:rPr>
        <w:t>n th</w:t>
      </w:r>
      <w:r w:rsidRPr="00C62BC1">
        <w:rPr>
          <w:rFonts w:hint="eastAsia"/>
          <w:i/>
          <w:lang w:val="de-DE"/>
        </w:rPr>
        <w:t>ươ</w:t>
      </w:r>
      <w:r w:rsidRPr="00C62BC1">
        <w:rPr>
          <w:i/>
          <w:lang w:val="de-DE"/>
        </w:rPr>
        <w:t>ng mại h</w:t>
      </w:r>
      <w:r w:rsidRPr="00C62BC1">
        <w:rPr>
          <w:rFonts w:hint="eastAsia"/>
          <w:i/>
          <w:lang w:val="de-DE"/>
        </w:rPr>
        <w:t>à</w:t>
      </w:r>
      <w:r w:rsidRPr="00C62BC1">
        <w:rPr>
          <w:i/>
          <w:lang w:val="de-DE"/>
        </w:rPr>
        <w:t>ng h</w:t>
      </w:r>
      <w:r w:rsidRPr="00C62BC1">
        <w:rPr>
          <w:rFonts w:hint="eastAsia"/>
          <w:i/>
          <w:lang w:val="de-DE"/>
        </w:rPr>
        <w:t>ó</w:t>
      </w:r>
      <w:r w:rsidRPr="00C62BC1">
        <w:rPr>
          <w:i/>
          <w:lang w:val="de-DE"/>
        </w:rPr>
        <w:t>a xuất si</w:t>
      </w:r>
      <w:r w:rsidRPr="00C62BC1">
        <w:rPr>
          <w:rFonts w:hint="eastAsia"/>
          <w:i/>
          <w:lang w:val="de-DE"/>
        </w:rPr>
        <w:t>ê</w:t>
      </w:r>
      <w:r w:rsidRPr="00C62BC1">
        <w:rPr>
          <w:i/>
          <w:lang w:val="de-DE"/>
        </w:rPr>
        <w:t>u 20,53 tỷ USD.</w:t>
      </w:r>
    </w:p>
    <w:p w14:paraId="29C4FB56" w14:textId="033E3CEE" w:rsidR="007F367F" w:rsidRPr="00C62BC1" w:rsidRDefault="007F367F" w:rsidP="007F367F">
      <w:pPr>
        <w:tabs>
          <w:tab w:val="num" w:pos="0"/>
          <w:tab w:val="left" w:pos="9475"/>
        </w:tabs>
        <w:spacing w:before="40" w:after="40" w:line="288" w:lineRule="auto"/>
        <w:ind w:right="119"/>
        <w:jc w:val="center"/>
        <w:rPr>
          <w:rFonts w:ascii="Arial" w:hAnsi="Arial" w:cs="Arial"/>
          <w:b/>
          <w:bCs/>
          <w:sz w:val="24"/>
          <w:szCs w:val="24"/>
          <w:lang w:val="es-NI"/>
        </w:rPr>
      </w:pPr>
      <w:r w:rsidRPr="00C62BC1">
        <w:rPr>
          <w:rFonts w:ascii="Arial" w:hAnsi="Arial" w:cs="Arial"/>
          <w:b/>
          <w:bCs/>
          <w:sz w:val="24"/>
          <w:szCs w:val="24"/>
          <w:lang w:val="es-NI"/>
        </w:rPr>
        <w:lastRenderedPageBreak/>
        <w:t>Hình 1</w:t>
      </w:r>
      <w:r w:rsidR="00594B17" w:rsidRPr="00C62BC1">
        <w:rPr>
          <w:rFonts w:ascii="Arial" w:hAnsi="Arial" w:cs="Arial"/>
          <w:b/>
          <w:bCs/>
          <w:sz w:val="24"/>
          <w:szCs w:val="24"/>
          <w:lang w:val="es-NI"/>
        </w:rPr>
        <w:t>1</w:t>
      </w:r>
      <w:r w:rsidRPr="00C62BC1">
        <w:rPr>
          <w:rFonts w:ascii="Arial" w:hAnsi="Arial" w:cs="Arial"/>
          <w:b/>
          <w:bCs/>
          <w:sz w:val="24"/>
          <w:szCs w:val="24"/>
          <w:lang w:val="es-NI"/>
        </w:rPr>
        <w:t>. Xuất, nhập khẩu hàng hóa 11 tháng năm 2025</w:t>
      </w:r>
    </w:p>
    <w:p w14:paraId="04EAD768" w14:textId="77777777" w:rsidR="007F367F" w:rsidRPr="00C62BC1" w:rsidRDefault="007F367F" w:rsidP="007F367F">
      <w:pPr>
        <w:tabs>
          <w:tab w:val="num" w:pos="0"/>
          <w:tab w:val="left" w:pos="9475"/>
        </w:tabs>
        <w:spacing w:before="40" w:after="40" w:line="288" w:lineRule="auto"/>
        <w:ind w:right="119"/>
        <w:jc w:val="center"/>
        <w:rPr>
          <w:rFonts w:ascii="Arial" w:hAnsi="Arial" w:cs="Arial"/>
          <w:b/>
          <w:bCs/>
          <w:sz w:val="24"/>
          <w:szCs w:val="24"/>
          <w:lang w:val="es-NI"/>
        </w:rPr>
      </w:pPr>
      <w:r w:rsidRPr="00C62BC1">
        <w:rPr>
          <w:noProof/>
        </w:rPr>
        <w:drawing>
          <wp:inline distT="0" distB="0" distL="0" distR="0" wp14:anchorId="6CAA354E" wp14:editId="58CBDA16">
            <wp:extent cx="5376988" cy="1800225"/>
            <wp:effectExtent l="0" t="0" r="0" b="0"/>
            <wp:docPr id="197768351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68351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378940" cy="1800879"/>
                    </a:xfrm>
                    <a:prstGeom prst="rect">
                      <a:avLst/>
                    </a:prstGeom>
                  </pic:spPr>
                </pic:pic>
              </a:graphicData>
            </a:graphic>
          </wp:inline>
        </w:drawing>
      </w:r>
    </w:p>
    <w:p w14:paraId="405656FF" w14:textId="77777777" w:rsidR="007F367F" w:rsidRPr="00C62BC1" w:rsidRDefault="007F367F" w:rsidP="00C62BC1">
      <w:pPr>
        <w:tabs>
          <w:tab w:val="num" w:pos="0"/>
          <w:tab w:val="left" w:pos="9475"/>
        </w:tabs>
        <w:spacing w:after="120" w:line="264" w:lineRule="auto"/>
        <w:ind w:firstLine="720"/>
        <w:jc w:val="both"/>
        <w:rPr>
          <w:rStyle w:val="Strong"/>
          <w:rFonts w:eastAsia="Calibri"/>
          <w:i/>
          <w:iCs/>
          <w:lang w:val="de-DE"/>
        </w:rPr>
      </w:pPr>
      <w:r w:rsidRPr="00C62BC1">
        <w:rPr>
          <w:rStyle w:val="Strong"/>
          <w:rFonts w:eastAsia="Calibri"/>
          <w:i/>
          <w:iCs/>
          <w:lang w:val="de-DE"/>
        </w:rPr>
        <w:t xml:space="preserve">Xuất khẩu hàng hóa </w:t>
      </w:r>
      <w:bookmarkStart w:id="4" w:name="_Hlk210660579"/>
    </w:p>
    <w:bookmarkEnd w:id="4"/>
    <w:p w14:paraId="4B54408A" w14:textId="77777777" w:rsidR="007F367F" w:rsidRPr="00C62BC1" w:rsidRDefault="007F367F" w:rsidP="00C62BC1">
      <w:pPr>
        <w:tabs>
          <w:tab w:val="num" w:pos="0"/>
          <w:tab w:val="left" w:pos="9475"/>
        </w:tabs>
        <w:spacing w:after="120" w:line="264" w:lineRule="auto"/>
        <w:ind w:firstLine="720"/>
        <w:jc w:val="both"/>
        <w:rPr>
          <w:bCs/>
          <w:lang w:val="de-DE"/>
        </w:rPr>
      </w:pPr>
      <w:r w:rsidRPr="00C62BC1">
        <w:rPr>
          <w:bCs/>
          <w:lang w:val="de-DE"/>
        </w:rPr>
        <w:t>Kim ngạch xuất khẩu hàng hóa tháng Mười sơ bộ đạt 42,05 tỷ USD</w:t>
      </w:r>
      <w:bookmarkStart w:id="5" w:name="_Hlk213089853"/>
      <w:r w:rsidRPr="00C62BC1">
        <w:rPr>
          <w:rStyle w:val="FootnoteReference"/>
          <w:bCs/>
          <w:lang w:val="de-DE"/>
        </w:rPr>
        <w:footnoteReference w:id="22"/>
      </w:r>
      <w:bookmarkEnd w:id="5"/>
      <w:r w:rsidRPr="00C62BC1">
        <w:rPr>
          <w:bCs/>
          <w:lang w:val="de-DE"/>
        </w:rPr>
        <w:t>.</w:t>
      </w:r>
    </w:p>
    <w:p w14:paraId="7A3CC80B" w14:textId="77777777" w:rsidR="007F367F" w:rsidRPr="00C62BC1" w:rsidRDefault="007F367F" w:rsidP="00C62BC1">
      <w:pPr>
        <w:tabs>
          <w:tab w:val="num" w:pos="0"/>
          <w:tab w:val="left" w:pos="9475"/>
        </w:tabs>
        <w:spacing w:after="120" w:line="264" w:lineRule="auto"/>
        <w:ind w:firstLine="720"/>
        <w:jc w:val="both"/>
        <w:rPr>
          <w:bCs/>
          <w:lang w:val="de-DE"/>
        </w:rPr>
      </w:pPr>
      <w:r w:rsidRPr="00C62BC1">
        <w:rPr>
          <w:bCs/>
          <w:lang w:val="de-DE"/>
        </w:rPr>
        <w:t>Kim ngạch xuất khẩu hàng hóa tháng Mười Một đạt 39,07 tỷ USD, giảm 7,1% so với tháng trước. Trong đó, khu vực kinh tế trong nước đạt 8,23 tỷ USD, giảm 4,2%; khu vực có vốn đầu tư nước ngoài (kể cả dầu thô) đạt 30,84 tỷ USD, giảm 7,8%. So với cùng kỳ năm trước, kim ngạch xuất khẩu hàng hóa tháng Mười Một tăng 15,1%, trong đó khu vực kinh tế trong nước giảm 17,5%, khu vực có vốn đầu tư nước ngoài (kể cả dầu thô) tăng 28,8%.</w:t>
      </w:r>
    </w:p>
    <w:p w14:paraId="08D34D01" w14:textId="77777777" w:rsidR="007F367F" w:rsidRPr="00C62BC1" w:rsidRDefault="007F367F" w:rsidP="00C62BC1">
      <w:pPr>
        <w:tabs>
          <w:tab w:val="num" w:pos="0"/>
          <w:tab w:val="left" w:pos="9475"/>
        </w:tabs>
        <w:spacing w:after="120" w:line="264" w:lineRule="auto"/>
        <w:ind w:firstLine="720"/>
        <w:jc w:val="both"/>
        <w:rPr>
          <w:bCs/>
          <w:lang w:val="de-DE"/>
        </w:rPr>
      </w:pPr>
      <w:r w:rsidRPr="00C62BC1">
        <w:rPr>
          <w:bCs/>
          <w:lang w:val="de-DE"/>
        </w:rPr>
        <w:t>Tính chung mười một tháng năm 2025, kim ngạch xuất khẩu hàng hóa đạt 430,14 tỷ USD, tăng 16,1% so với cùng kỳ năm trước. Trong đó, khu vực kinh tế trong nước đạt 102,41 tỷ USD, giảm 1,7%, chiếm 23,8% tổng kim ngạch xuất khẩu; khu vực có vốn đầu tư nước ngoài (kể cả dầu thô) đạt 327,73 tỷ USD, tăng 23,1%, chiếm 76,2%.</w:t>
      </w:r>
    </w:p>
    <w:p w14:paraId="2D3DCE58" w14:textId="77777777" w:rsidR="007F367F" w:rsidRPr="00C62BC1" w:rsidRDefault="007F367F" w:rsidP="00C62BC1">
      <w:pPr>
        <w:tabs>
          <w:tab w:val="num" w:pos="0"/>
          <w:tab w:val="left" w:pos="9475"/>
        </w:tabs>
        <w:spacing w:after="120" w:line="264" w:lineRule="auto"/>
        <w:ind w:firstLine="720"/>
        <w:jc w:val="both"/>
        <w:rPr>
          <w:spacing w:val="-4"/>
          <w:lang w:val="de-DE"/>
        </w:rPr>
      </w:pPr>
      <w:r w:rsidRPr="00C62BC1">
        <w:rPr>
          <w:bCs/>
          <w:lang w:val="de-DE"/>
        </w:rPr>
        <w:t>Trong mười một tháng năm 2025 có 36 mặt hàng đạt kim ngạch xuất khẩu trên 1 tỷ USD, chiếm 94,1% tổng kim ngạch xuất khẩu (có 8 mặt hàng xuất khẩu trên 10 tỷ USD, chiếm 70,3%).</w:t>
      </w:r>
    </w:p>
    <w:p w14:paraId="3721DB8A" w14:textId="77777777" w:rsidR="007F367F" w:rsidRPr="00C62BC1" w:rsidRDefault="007F367F" w:rsidP="00C62BC1">
      <w:pPr>
        <w:tabs>
          <w:tab w:val="num" w:pos="0"/>
          <w:tab w:val="left" w:pos="9475"/>
        </w:tabs>
        <w:spacing w:before="40" w:after="40" w:line="288" w:lineRule="auto"/>
        <w:ind w:right="119"/>
        <w:jc w:val="center"/>
        <w:rPr>
          <w:rFonts w:ascii="Arial" w:hAnsi="Arial" w:cs="Arial"/>
          <w:b/>
          <w:bCs/>
          <w:sz w:val="24"/>
          <w:szCs w:val="24"/>
        </w:rPr>
      </w:pPr>
      <w:r w:rsidRPr="00C62BC1">
        <w:rPr>
          <w:rFonts w:ascii="Arial" w:hAnsi="Arial" w:cs="Arial"/>
          <w:b/>
          <w:spacing w:val="-2"/>
          <w:sz w:val="24"/>
          <w:szCs w:val="20"/>
          <w:lang w:val="pl-PL"/>
        </w:rPr>
        <w:t>Biểu 4. Giá trị</w:t>
      </w:r>
      <w:r w:rsidRPr="00C62BC1">
        <w:rPr>
          <w:rFonts w:ascii="Arial" w:hAnsi="Arial" w:cs="Arial"/>
          <w:b/>
          <w:bCs/>
          <w:sz w:val="24"/>
          <w:szCs w:val="24"/>
          <w:lang w:val="es-NI"/>
        </w:rPr>
        <w:t xml:space="preserve"> một số mặt hàng xuất khẩu 11 tháng năm 2025</w:t>
      </w:r>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984"/>
        <w:gridCol w:w="2551"/>
      </w:tblGrid>
      <w:tr w:rsidR="00951742" w:rsidRPr="00C62BC1" w14:paraId="66E64AA8" w14:textId="77777777" w:rsidTr="008E3EB5">
        <w:trPr>
          <w:jc w:val="center"/>
        </w:trPr>
        <w:tc>
          <w:tcPr>
            <w:tcW w:w="4395" w:type="dxa"/>
          </w:tcPr>
          <w:p w14:paraId="28F0013F" w14:textId="77777777" w:rsidR="007F367F" w:rsidRPr="00C62BC1" w:rsidRDefault="007F367F" w:rsidP="00C62BC1">
            <w:pPr>
              <w:tabs>
                <w:tab w:val="num" w:pos="0"/>
                <w:tab w:val="left" w:pos="9475"/>
              </w:tabs>
              <w:spacing w:before="40" w:after="40"/>
              <w:ind w:right="119" w:firstLine="567"/>
              <w:jc w:val="both"/>
              <w:rPr>
                <w:rFonts w:ascii="Arial" w:hAnsi="Arial" w:cs="Arial"/>
                <w:b/>
                <w:bCs/>
                <w:i/>
                <w:iCs/>
                <w:sz w:val="20"/>
                <w:szCs w:val="20"/>
                <w:lang w:val="es-NI"/>
              </w:rPr>
            </w:pPr>
            <w:r w:rsidRPr="00C62BC1">
              <w:rPr>
                <w:rFonts w:ascii="Arial" w:hAnsi="Arial" w:cs="Arial"/>
                <w:b/>
                <w:bCs/>
                <w:i/>
                <w:iCs/>
                <w:sz w:val="20"/>
                <w:szCs w:val="20"/>
                <w:lang w:val="es-NI"/>
              </w:rPr>
              <w:t xml:space="preserve"> </w:t>
            </w:r>
          </w:p>
        </w:tc>
        <w:tc>
          <w:tcPr>
            <w:tcW w:w="1984" w:type="dxa"/>
            <w:tcBorders>
              <w:top w:val="single" w:sz="4" w:space="0" w:color="auto"/>
              <w:bottom w:val="single" w:sz="4" w:space="0" w:color="auto"/>
            </w:tcBorders>
          </w:tcPr>
          <w:p w14:paraId="1A6C85A3" w14:textId="77777777" w:rsidR="007F367F" w:rsidRPr="00C62BC1" w:rsidRDefault="007F367F" w:rsidP="00C62BC1">
            <w:pPr>
              <w:spacing w:before="40" w:after="40"/>
              <w:jc w:val="center"/>
              <w:rPr>
                <w:rFonts w:ascii="Arial" w:hAnsi="Arial" w:cs="Arial"/>
                <w:sz w:val="20"/>
                <w:szCs w:val="20"/>
                <w:lang w:val="es-NI"/>
              </w:rPr>
            </w:pPr>
            <w:r w:rsidRPr="00C62BC1">
              <w:rPr>
                <w:rFonts w:ascii="Arial" w:hAnsi="Arial" w:cs="Arial"/>
                <w:sz w:val="20"/>
                <w:szCs w:val="20"/>
                <w:lang w:val="es-NI"/>
              </w:rPr>
              <w:t xml:space="preserve">Giá trị </w:t>
            </w:r>
          </w:p>
          <w:p w14:paraId="504F7716" w14:textId="77777777" w:rsidR="007F367F" w:rsidRPr="00C62BC1" w:rsidRDefault="007F367F" w:rsidP="00C62BC1">
            <w:pPr>
              <w:spacing w:before="40" w:after="40"/>
              <w:jc w:val="center"/>
              <w:rPr>
                <w:rFonts w:ascii="Arial" w:hAnsi="Arial" w:cs="Arial"/>
                <w:b/>
                <w:bCs/>
                <w:i/>
                <w:iCs/>
                <w:sz w:val="20"/>
                <w:szCs w:val="20"/>
                <w:lang w:val="es-NI"/>
              </w:rPr>
            </w:pPr>
            <w:r w:rsidRPr="00C62BC1">
              <w:rPr>
                <w:rFonts w:ascii="Arial" w:hAnsi="Arial" w:cs="Arial"/>
                <w:i/>
                <w:iCs/>
                <w:sz w:val="20"/>
                <w:szCs w:val="20"/>
                <w:lang w:val="es-NI"/>
              </w:rPr>
              <w:t>(Triệu USD)</w:t>
            </w:r>
          </w:p>
        </w:tc>
        <w:tc>
          <w:tcPr>
            <w:tcW w:w="2551" w:type="dxa"/>
            <w:tcBorders>
              <w:top w:val="single" w:sz="4" w:space="0" w:color="auto"/>
              <w:bottom w:val="single" w:sz="4" w:space="0" w:color="auto"/>
            </w:tcBorders>
          </w:tcPr>
          <w:p w14:paraId="13985BAA" w14:textId="77777777" w:rsidR="007F367F" w:rsidRPr="00C62BC1" w:rsidRDefault="007F367F" w:rsidP="00C62BC1">
            <w:pPr>
              <w:spacing w:before="40" w:after="40"/>
              <w:jc w:val="center"/>
              <w:rPr>
                <w:rFonts w:ascii="Arial" w:hAnsi="Arial" w:cs="Arial"/>
                <w:sz w:val="20"/>
                <w:szCs w:val="20"/>
                <w:lang w:val="es-NI"/>
              </w:rPr>
            </w:pPr>
            <w:r w:rsidRPr="00C62BC1">
              <w:rPr>
                <w:rFonts w:ascii="Arial" w:hAnsi="Arial" w:cs="Arial"/>
                <w:sz w:val="20"/>
                <w:szCs w:val="20"/>
                <w:lang w:val="es-NI"/>
              </w:rPr>
              <w:t xml:space="preserve">Tốc độ tăng so với </w:t>
            </w:r>
          </w:p>
          <w:p w14:paraId="570145F9" w14:textId="77777777" w:rsidR="007F367F" w:rsidRPr="00C62BC1" w:rsidRDefault="007F367F" w:rsidP="00C62BC1">
            <w:pPr>
              <w:spacing w:before="40" w:after="40"/>
              <w:jc w:val="center"/>
              <w:rPr>
                <w:rFonts w:ascii="Arial" w:hAnsi="Arial" w:cs="Arial"/>
                <w:b/>
                <w:bCs/>
                <w:i/>
                <w:iCs/>
                <w:sz w:val="20"/>
                <w:szCs w:val="20"/>
              </w:rPr>
            </w:pPr>
            <w:r w:rsidRPr="00C62BC1">
              <w:rPr>
                <w:rFonts w:ascii="Arial" w:hAnsi="Arial" w:cs="Arial"/>
                <w:sz w:val="20"/>
                <w:szCs w:val="20"/>
              </w:rPr>
              <w:t xml:space="preserve">cùng kỳ năm trước </w:t>
            </w:r>
            <w:r w:rsidRPr="00C62BC1">
              <w:rPr>
                <w:rFonts w:ascii="Arial" w:hAnsi="Arial" w:cs="Arial"/>
                <w:i/>
                <w:iCs/>
                <w:sz w:val="20"/>
                <w:szCs w:val="20"/>
              </w:rPr>
              <w:t>(%)</w:t>
            </w:r>
          </w:p>
        </w:tc>
      </w:tr>
      <w:tr w:rsidR="00951742" w:rsidRPr="00C62BC1" w14:paraId="4272C264" w14:textId="77777777" w:rsidTr="008E3EB5">
        <w:trPr>
          <w:jc w:val="center"/>
        </w:trPr>
        <w:tc>
          <w:tcPr>
            <w:tcW w:w="4395" w:type="dxa"/>
            <w:vAlign w:val="bottom"/>
          </w:tcPr>
          <w:p w14:paraId="2BCAE9C5" w14:textId="77777777" w:rsidR="007F367F" w:rsidRPr="00C62BC1" w:rsidRDefault="007F367F" w:rsidP="00C62BC1">
            <w:pPr>
              <w:spacing w:before="40" w:after="40"/>
              <w:jc w:val="both"/>
              <w:rPr>
                <w:rFonts w:ascii="Arial" w:hAnsi="Arial" w:cs="Arial"/>
                <w:b/>
                <w:bCs/>
                <w:sz w:val="20"/>
                <w:szCs w:val="20"/>
              </w:rPr>
            </w:pPr>
            <w:r w:rsidRPr="00C62BC1">
              <w:rPr>
                <w:rFonts w:ascii="Arial" w:hAnsi="Arial" w:cs="Arial"/>
                <w:b/>
                <w:bCs/>
                <w:sz w:val="20"/>
                <w:szCs w:val="20"/>
              </w:rPr>
              <w:t>Các mặt hàng đạt giá trị trên 10 tỷ USD</w:t>
            </w:r>
          </w:p>
        </w:tc>
        <w:tc>
          <w:tcPr>
            <w:tcW w:w="1984" w:type="dxa"/>
            <w:tcBorders>
              <w:top w:val="single" w:sz="4" w:space="0" w:color="auto"/>
            </w:tcBorders>
          </w:tcPr>
          <w:p w14:paraId="22770322" w14:textId="77777777" w:rsidR="007F367F" w:rsidRPr="00C62BC1" w:rsidRDefault="007F367F" w:rsidP="00C62BC1">
            <w:pPr>
              <w:tabs>
                <w:tab w:val="num" w:pos="0"/>
                <w:tab w:val="left" w:pos="9475"/>
              </w:tabs>
              <w:spacing w:before="40" w:after="40"/>
              <w:ind w:right="119" w:firstLine="567"/>
              <w:jc w:val="both"/>
              <w:rPr>
                <w:rFonts w:ascii="Arial" w:hAnsi="Arial" w:cs="Arial"/>
                <w:b/>
                <w:bCs/>
                <w:i/>
                <w:iCs/>
                <w:sz w:val="20"/>
                <w:szCs w:val="20"/>
              </w:rPr>
            </w:pPr>
          </w:p>
        </w:tc>
        <w:tc>
          <w:tcPr>
            <w:tcW w:w="2551" w:type="dxa"/>
            <w:tcBorders>
              <w:top w:val="single" w:sz="4" w:space="0" w:color="auto"/>
            </w:tcBorders>
          </w:tcPr>
          <w:p w14:paraId="4ABFFDA7" w14:textId="77777777" w:rsidR="007F367F" w:rsidRPr="00C62BC1" w:rsidRDefault="007F367F" w:rsidP="00C62BC1">
            <w:pPr>
              <w:tabs>
                <w:tab w:val="num" w:pos="0"/>
                <w:tab w:val="left" w:pos="9475"/>
              </w:tabs>
              <w:spacing w:before="40" w:after="40"/>
              <w:ind w:right="119" w:firstLine="567"/>
              <w:jc w:val="both"/>
              <w:rPr>
                <w:rFonts w:ascii="Arial" w:hAnsi="Arial" w:cs="Arial"/>
                <w:b/>
                <w:bCs/>
                <w:i/>
                <w:iCs/>
                <w:sz w:val="20"/>
                <w:szCs w:val="20"/>
              </w:rPr>
            </w:pPr>
          </w:p>
        </w:tc>
      </w:tr>
      <w:tr w:rsidR="00951742" w:rsidRPr="00C62BC1" w14:paraId="3AAE33C7" w14:textId="77777777" w:rsidTr="008E3EB5">
        <w:trPr>
          <w:jc w:val="center"/>
        </w:trPr>
        <w:tc>
          <w:tcPr>
            <w:tcW w:w="4395" w:type="dxa"/>
            <w:vAlign w:val="bottom"/>
          </w:tcPr>
          <w:p w14:paraId="47983E2F" w14:textId="77777777" w:rsidR="007F367F" w:rsidRPr="00C62BC1" w:rsidRDefault="007F367F" w:rsidP="00C62BC1">
            <w:pPr>
              <w:spacing w:before="40" w:after="40"/>
              <w:jc w:val="both"/>
              <w:rPr>
                <w:rFonts w:ascii="Arial" w:hAnsi="Arial" w:cs="Arial"/>
                <w:sz w:val="20"/>
                <w:szCs w:val="20"/>
              </w:rPr>
            </w:pPr>
            <w:r w:rsidRPr="00C62BC1">
              <w:rPr>
                <w:rFonts w:ascii="Arial" w:hAnsi="Arial" w:cs="Arial"/>
                <w:sz w:val="20"/>
                <w:szCs w:val="20"/>
              </w:rPr>
              <w:t>Điện tử, máy tính và linh kiện</w:t>
            </w:r>
          </w:p>
        </w:tc>
        <w:tc>
          <w:tcPr>
            <w:tcW w:w="1984" w:type="dxa"/>
            <w:vAlign w:val="bottom"/>
          </w:tcPr>
          <w:p w14:paraId="36967255" w14:textId="77777777" w:rsidR="007F367F" w:rsidRPr="00C62BC1" w:rsidRDefault="007F367F" w:rsidP="00C62BC1">
            <w:pPr>
              <w:spacing w:before="40" w:after="40"/>
              <w:ind w:right="456" w:firstLine="567"/>
              <w:jc w:val="right"/>
              <w:rPr>
                <w:rFonts w:ascii="Arial" w:hAnsi="Arial" w:cs="Arial"/>
                <w:sz w:val="20"/>
                <w:szCs w:val="20"/>
                <w:lang w:val="en-US"/>
              </w:rPr>
            </w:pPr>
            <w:r w:rsidRPr="00C62BC1">
              <w:rPr>
                <w:rFonts w:ascii="Arial" w:hAnsi="Arial" w:cs="Arial"/>
                <w:sz w:val="20"/>
                <w:szCs w:val="20"/>
              </w:rPr>
              <w:t>96.917</w:t>
            </w:r>
          </w:p>
        </w:tc>
        <w:tc>
          <w:tcPr>
            <w:tcW w:w="2551" w:type="dxa"/>
            <w:vAlign w:val="bottom"/>
          </w:tcPr>
          <w:p w14:paraId="44ACF7E0" w14:textId="77777777" w:rsidR="007F367F" w:rsidRPr="00C62BC1" w:rsidRDefault="007F367F" w:rsidP="00C62BC1">
            <w:pPr>
              <w:spacing w:before="40" w:after="40"/>
              <w:ind w:right="880" w:firstLine="567"/>
              <w:jc w:val="right"/>
              <w:rPr>
                <w:rFonts w:ascii="Arial" w:hAnsi="Arial" w:cs="Arial"/>
                <w:sz w:val="20"/>
                <w:szCs w:val="20"/>
              </w:rPr>
            </w:pPr>
            <w:r w:rsidRPr="00C62BC1">
              <w:rPr>
                <w:rFonts w:ascii="Arial" w:hAnsi="Arial" w:cs="Arial"/>
                <w:sz w:val="20"/>
                <w:szCs w:val="20"/>
              </w:rPr>
              <w:t>48,5</w:t>
            </w:r>
          </w:p>
        </w:tc>
      </w:tr>
      <w:tr w:rsidR="00951742" w:rsidRPr="00C62BC1" w14:paraId="53F9E863" w14:textId="77777777" w:rsidTr="008E3EB5">
        <w:trPr>
          <w:jc w:val="center"/>
        </w:trPr>
        <w:tc>
          <w:tcPr>
            <w:tcW w:w="4395" w:type="dxa"/>
            <w:vAlign w:val="bottom"/>
          </w:tcPr>
          <w:p w14:paraId="4805263F" w14:textId="77777777" w:rsidR="007F367F" w:rsidRPr="00C62BC1" w:rsidRDefault="007F367F" w:rsidP="00C62BC1">
            <w:pPr>
              <w:spacing w:before="40" w:after="40"/>
              <w:jc w:val="both"/>
              <w:rPr>
                <w:rFonts w:ascii="Arial" w:hAnsi="Arial" w:cs="Arial"/>
                <w:sz w:val="20"/>
                <w:szCs w:val="20"/>
              </w:rPr>
            </w:pPr>
            <w:r w:rsidRPr="00C62BC1">
              <w:rPr>
                <w:rFonts w:ascii="Arial" w:hAnsi="Arial" w:cs="Arial"/>
                <w:sz w:val="20"/>
                <w:szCs w:val="20"/>
              </w:rPr>
              <w:t>Máy móc, thiết bị, dụng cụ, phụ tùng khác</w:t>
            </w:r>
          </w:p>
        </w:tc>
        <w:tc>
          <w:tcPr>
            <w:tcW w:w="1984" w:type="dxa"/>
            <w:vAlign w:val="bottom"/>
          </w:tcPr>
          <w:p w14:paraId="08990745" w14:textId="77777777" w:rsidR="007F367F" w:rsidRPr="00C62BC1" w:rsidRDefault="007F367F" w:rsidP="00C62BC1">
            <w:pPr>
              <w:spacing w:before="40" w:after="40"/>
              <w:ind w:right="456" w:firstLine="567"/>
              <w:jc w:val="right"/>
              <w:rPr>
                <w:rFonts w:ascii="Arial" w:hAnsi="Arial" w:cs="Arial"/>
                <w:sz w:val="20"/>
                <w:szCs w:val="20"/>
              </w:rPr>
            </w:pPr>
            <w:r w:rsidRPr="00C62BC1">
              <w:rPr>
                <w:rFonts w:ascii="Arial" w:hAnsi="Arial" w:cs="Arial"/>
                <w:sz w:val="20"/>
                <w:szCs w:val="20"/>
              </w:rPr>
              <w:t>53.358</w:t>
            </w:r>
          </w:p>
        </w:tc>
        <w:tc>
          <w:tcPr>
            <w:tcW w:w="2551" w:type="dxa"/>
            <w:vAlign w:val="bottom"/>
          </w:tcPr>
          <w:p w14:paraId="71B8A75F" w14:textId="77777777" w:rsidR="007F367F" w:rsidRPr="00C62BC1" w:rsidRDefault="007F367F" w:rsidP="00C62BC1">
            <w:pPr>
              <w:spacing w:before="40" w:after="40"/>
              <w:ind w:right="880" w:firstLine="567"/>
              <w:jc w:val="right"/>
              <w:rPr>
                <w:rFonts w:ascii="Arial" w:hAnsi="Arial" w:cs="Arial"/>
                <w:sz w:val="20"/>
                <w:szCs w:val="20"/>
              </w:rPr>
            </w:pPr>
            <w:r w:rsidRPr="00C62BC1">
              <w:rPr>
                <w:rFonts w:ascii="Arial" w:hAnsi="Arial" w:cs="Arial"/>
                <w:sz w:val="20"/>
                <w:szCs w:val="20"/>
              </w:rPr>
              <w:t>11,6</w:t>
            </w:r>
          </w:p>
        </w:tc>
      </w:tr>
      <w:tr w:rsidR="00951742" w:rsidRPr="00C62BC1" w14:paraId="719CAE6B" w14:textId="77777777" w:rsidTr="008E3EB5">
        <w:trPr>
          <w:jc w:val="center"/>
        </w:trPr>
        <w:tc>
          <w:tcPr>
            <w:tcW w:w="4395" w:type="dxa"/>
            <w:vAlign w:val="bottom"/>
          </w:tcPr>
          <w:p w14:paraId="355507FD" w14:textId="77777777" w:rsidR="007F367F" w:rsidRPr="00C62BC1" w:rsidRDefault="007F367F" w:rsidP="00C62BC1">
            <w:pPr>
              <w:spacing w:before="40" w:after="40"/>
              <w:jc w:val="both"/>
              <w:rPr>
                <w:rFonts w:ascii="Arial" w:hAnsi="Arial" w:cs="Arial"/>
                <w:sz w:val="20"/>
                <w:szCs w:val="20"/>
              </w:rPr>
            </w:pPr>
            <w:r w:rsidRPr="00C62BC1">
              <w:rPr>
                <w:rFonts w:ascii="Arial" w:hAnsi="Arial" w:cs="Arial"/>
                <w:sz w:val="20"/>
                <w:szCs w:val="20"/>
              </w:rPr>
              <w:t>Điện thoại các loại và linh kiện</w:t>
            </w:r>
          </w:p>
        </w:tc>
        <w:tc>
          <w:tcPr>
            <w:tcW w:w="1984" w:type="dxa"/>
            <w:vAlign w:val="bottom"/>
          </w:tcPr>
          <w:p w14:paraId="1A204F93" w14:textId="77777777" w:rsidR="007F367F" w:rsidRPr="00C62BC1" w:rsidRDefault="007F367F" w:rsidP="00C62BC1">
            <w:pPr>
              <w:spacing w:before="40" w:after="40"/>
              <w:ind w:right="456" w:firstLine="567"/>
              <w:jc w:val="right"/>
              <w:rPr>
                <w:rFonts w:ascii="Arial" w:hAnsi="Arial" w:cs="Arial"/>
                <w:sz w:val="20"/>
                <w:szCs w:val="20"/>
              </w:rPr>
            </w:pPr>
            <w:r w:rsidRPr="00C62BC1">
              <w:rPr>
                <w:rFonts w:ascii="Arial" w:hAnsi="Arial" w:cs="Arial"/>
                <w:sz w:val="20"/>
                <w:szCs w:val="20"/>
              </w:rPr>
              <w:t>52.658</w:t>
            </w:r>
          </w:p>
        </w:tc>
        <w:tc>
          <w:tcPr>
            <w:tcW w:w="2551" w:type="dxa"/>
            <w:vAlign w:val="bottom"/>
          </w:tcPr>
          <w:p w14:paraId="64998BFF" w14:textId="77777777" w:rsidR="007F367F" w:rsidRPr="00C62BC1" w:rsidRDefault="007F367F" w:rsidP="00C62BC1">
            <w:pPr>
              <w:spacing w:before="40" w:after="40"/>
              <w:ind w:right="880" w:firstLine="567"/>
              <w:jc w:val="right"/>
              <w:rPr>
                <w:rFonts w:ascii="Arial" w:hAnsi="Arial" w:cs="Arial"/>
                <w:sz w:val="20"/>
                <w:szCs w:val="20"/>
              </w:rPr>
            </w:pPr>
            <w:r w:rsidRPr="00C62BC1">
              <w:rPr>
                <w:rFonts w:ascii="Arial" w:hAnsi="Arial" w:cs="Arial"/>
                <w:sz w:val="20"/>
                <w:szCs w:val="20"/>
              </w:rPr>
              <w:t>4,8</w:t>
            </w:r>
          </w:p>
        </w:tc>
      </w:tr>
      <w:tr w:rsidR="00951742" w:rsidRPr="00C62BC1" w14:paraId="1AE164BD" w14:textId="77777777" w:rsidTr="008E3EB5">
        <w:trPr>
          <w:jc w:val="center"/>
        </w:trPr>
        <w:tc>
          <w:tcPr>
            <w:tcW w:w="4395" w:type="dxa"/>
            <w:vAlign w:val="bottom"/>
          </w:tcPr>
          <w:p w14:paraId="22DC3795" w14:textId="77777777" w:rsidR="007F367F" w:rsidRPr="00C62BC1" w:rsidRDefault="007F367F" w:rsidP="00C62BC1">
            <w:pPr>
              <w:spacing w:before="40" w:after="40"/>
              <w:jc w:val="both"/>
              <w:rPr>
                <w:rFonts w:ascii="Arial" w:hAnsi="Arial" w:cs="Arial"/>
                <w:sz w:val="20"/>
                <w:szCs w:val="20"/>
              </w:rPr>
            </w:pPr>
            <w:r w:rsidRPr="00C62BC1">
              <w:rPr>
                <w:rFonts w:ascii="Arial" w:hAnsi="Arial" w:cs="Arial"/>
                <w:sz w:val="20"/>
                <w:szCs w:val="20"/>
              </w:rPr>
              <w:t>Hàng dệt, may</w:t>
            </w:r>
          </w:p>
        </w:tc>
        <w:tc>
          <w:tcPr>
            <w:tcW w:w="1984" w:type="dxa"/>
            <w:vAlign w:val="bottom"/>
          </w:tcPr>
          <w:p w14:paraId="754D1A94" w14:textId="77777777" w:rsidR="007F367F" w:rsidRPr="00C62BC1" w:rsidRDefault="007F367F" w:rsidP="00C62BC1">
            <w:pPr>
              <w:spacing w:before="40" w:after="40"/>
              <w:ind w:right="456" w:firstLine="567"/>
              <w:jc w:val="right"/>
              <w:rPr>
                <w:rFonts w:ascii="Arial" w:hAnsi="Arial" w:cs="Arial"/>
                <w:sz w:val="20"/>
                <w:szCs w:val="20"/>
              </w:rPr>
            </w:pPr>
            <w:r w:rsidRPr="00C62BC1">
              <w:rPr>
                <w:rFonts w:ascii="Arial" w:hAnsi="Arial" w:cs="Arial"/>
                <w:sz w:val="20"/>
                <w:szCs w:val="20"/>
              </w:rPr>
              <w:t>35.913</w:t>
            </w:r>
          </w:p>
        </w:tc>
        <w:tc>
          <w:tcPr>
            <w:tcW w:w="2551" w:type="dxa"/>
            <w:vAlign w:val="bottom"/>
          </w:tcPr>
          <w:p w14:paraId="2A019C99" w14:textId="77777777" w:rsidR="007F367F" w:rsidRPr="00C62BC1" w:rsidRDefault="007F367F" w:rsidP="00C62BC1">
            <w:pPr>
              <w:spacing w:before="40" w:after="40"/>
              <w:ind w:right="880" w:firstLine="567"/>
              <w:jc w:val="right"/>
              <w:rPr>
                <w:rFonts w:ascii="Arial" w:hAnsi="Arial" w:cs="Arial"/>
                <w:sz w:val="20"/>
                <w:szCs w:val="20"/>
              </w:rPr>
            </w:pPr>
            <w:r w:rsidRPr="00C62BC1">
              <w:rPr>
                <w:rFonts w:ascii="Arial" w:hAnsi="Arial" w:cs="Arial"/>
                <w:sz w:val="20"/>
                <w:szCs w:val="20"/>
              </w:rPr>
              <w:t>6,7</w:t>
            </w:r>
          </w:p>
        </w:tc>
      </w:tr>
      <w:tr w:rsidR="00951742" w:rsidRPr="00C62BC1" w14:paraId="782F198B" w14:textId="77777777" w:rsidTr="008E3EB5">
        <w:trPr>
          <w:jc w:val="center"/>
        </w:trPr>
        <w:tc>
          <w:tcPr>
            <w:tcW w:w="4395" w:type="dxa"/>
            <w:vAlign w:val="bottom"/>
          </w:tcPr>
          <w:p w14:paraId="53E26141" w14:textId="77777777" w:rsidR="007F367F" w:rsidRPr="00C62BC1" w:rsidRDefault="007F367F" w:rsidP="00C62BC1">
            <w:pPr>
              <w:spacing w:before="40" w:after="40"/>
              <w:jc w:val="both"/>
              <w:rPr>
                <w:rFonts w:ascii="Arial" w:hAnsi="Arial" w:cs="Arial"/>
                <w:sz w:val="20"/>
                <w:szCs w:val="20"/>
              </w:rPr>
            </w:pPr>
            <w:r w:rsidRPr="00C62BC1">
              <w:rPr>
                <w:rFonts w:ascii="Arial" w:hAnsi="Arial" w:cs="Arial"/>
                <w:sz w:val="20"/>
                <w:szCs w:val="20"/>
              </w:rPr>
              <w:t>Giày dép</w:t>
            </w:r>
          </w:p>
        </w:tc>
        <w:tc>
          <w:tcPr>
            <w:tcW w:w="1984" w:type="dxa"/>
            <w:vAlign w:val="bottom"/>
          </w:tcPr>
          <w:p w14:paraId="2EB9D61A" w14:textId="77777777" w:rsidR="007F367F" w:rsidRPr="00C62BC1" w:rsidRDefault="007F367F" w:rsidP="00C62BC1">
            <w:pPr>
              <w:spacing w:before="40" w:after="40"/>
              <w:ind w:right="456" w:firstLine="567"/>
              <w:jc w:val="right"/>
              <w:rPr>
                <w:rFonts w:ascii="Arial" w:hAnsi="Arial" w:cs="Arial"/>
                <w:sz w:val="20"/>
                <w:szCs w:val="20"/>
              </w:rPr>
            </w:pPr>
            <w:r w:rsidRPr="00C62BC1">
              <w:rPr>
                <w:rFonts w:ascii="Arial" w:hAnsi="Arial" w:cs="Arial"/>
                <w:sz w:val="20"/>
                <w:szCs w:val="20"/>
              </w:rPr>
              <w:t>21.909</w:t>
            </w:r>
          </w:p>
        </w:tc>
        <w:tc>
          <w:tcPr>
            <w:tcW w:w="2551" w:type="dxa"/>
            <w:vAlign w:val="bottom"/>
          </w:tcPr>
          <w:p w14:paraId="2A5774F8" w14:textId="77777777" w:rsidR="007F367F" w:rsidRPr="00C62BC1" w:rsidRDefault="007F367F" w:rsidP="00C62BC1">
            <w:pPr>
              <w:spacing w:before="40" w:after="40"/>
              <w:ind w:right="880" w:firstLine="567"/>
              <w:jc w:val="right"/>
              <w:rPr>
                <w:rFonts w:ascii="Arial" w:hAnsi="Arial" w:cs="Arial"/>
                <w:sz w:val="20"/>
                <w:szCs w:val="20"/>
              </w:rPr>
            </w:pPr>
            <w:r w:rsidRPr="00C62BC1">
              <w:rPr>
                <w:rFonts w:ascii="Arial" w:hAnsi="Arial" w:cs="Arial"/>
                <w:sz w:val="20"/>
                <w:szCs w:val="20"/>
              </w:rPr>
              <w:t>5,5</w:t>
            </w:r>
          </w:p>
        </w:tc>
      </w:tr>
      <w:tr w:rsidR="00951742" w:rsidRPr="00C62BC1" w14:paraId="79305EC0" w14:textId="77777777" w:rsidTr="008E3EB5">
        <w:trPr>
          <w:jc w:val="center"/>
        </w:trPr>
        <w:tc>
          <w:tcPr>
            <w:tcW w:w="4395" w:type="dxa"/>
            <w:vAlign w:val="bottom"/>
          </w:tcPr>
          <w:p w14:paraId="41F3E654" w14:textId="77777777" w:rsidR="007F367F" w:rsidRPr="00C62BC1" w:rsidRDefault="007F367F" w:rsidP="00C62BC1">
            <w:pPr>
              <w:spacing w:before="40" w:after="40"/>
              <w:jc w:val="both"/>
              <w:rPr>
                <w:rFonts w:ascii="Arial" w:hAnsi="Arial" w:cs="Arial"/>
                <w:sz w:val="20"/>
                <w:szCs w:val="20"/>
              </w:rPr>
            </w:pPr>
            <w:r w:rsidRPr="00C62BC1">
              <w:rPr>
                <w:rFonts w:ascii="Arial" w:hAnsi="Arial" w:cs="Arial"/>
                <w:sz w:val="20"/>
                <w:szCs w:val="20"/>
              </w:rPr>
              <w:t>Phương tiện vận tải và phụ tùng</w:t>
            </w:r>
          </w:p>
        </w:tc>
        <w:tc>
          <w:tcPr>
            <w:tcW w:w="1984" w:type="dxa"/>
            <w:vAlign w:val="bottom"/>
          </w:tcPr>
          <w:p w14:paraId="44D7EFAB" w14:textId="77777777" w:rsidR="007F367F" w:rsidRPr="00C62BC1" w:rsidRDefault="007F367F" w:rsidP="00C62BC1">
            <w:pPr>
              <w:spacing w:before="40" w:after="40"/>
              <w:ind w:right="456" w:firstLine="567"/>
              <w:jc w:val="right"/>
              <w:rPr>
                <w:rFonts w:ascii="Arial" w:hAnsi="Arial" w:cs="Arial"/>
                <w:sz w:val="20"/>
                <w:szCs w:val="20"/>
              </w:rPr>
            </w:pPr>
            <w:r w:rsidRPr="00C62BC1">
              <w:rPr>
                <w:rFonts w:ascii="Arial" w:hAnsi="Arial" w:cs="Arial"/>
                <w:sz w:val="20"/>
                <w:szCs w:val="20"/>
              </w:rPr>
              <w:t>15.811</w:t>
            </w:r>
          </w:p>
        </w:tc>
        <w:tc>
          <w:tcPr>
            <w:tcW w:w="2551" w:type="dxa"/>
            <w:vAlign w:val="bottom"/>
          </w:tcPr>
          <w:p w14:paraId="2B125414" w14:textId="77777777" w:rsidR="007F367F" w:rsidRPr="00C62BC1" w:rsidRDefault="007F367F" w:rsidP="00C62BC1">
            <w:pPr>
              <w:spacing w:before="40" w:after="40"/>
              <w:ind w:right="880" w:firstLine="567"/>
              <w:jc w:val="right"/>
              <w:rPr>
                <w:rFonts w:ascii="Arial" w:hAnsi="Arial" w:cs="Arial"/>
                <w:sz w:val="20"/>
                <w:szCs w:val="20"/>
              </w:rPr>
            </w:pPr>
            <w:r w:rsidRPr="00C62BC1">
              <w:rPr>
                <w:rFonts w:ascii="Arial" w:hAnsi="Arial" w:cs="Arial"/>
                <w:sz w:val="20"/>
                <w:szCs w:val="20"/>
              </w:rPr>
              <w:t>13,4</w:t>
            </w:r>
          </w:p>
        </w:tc>
      </w:tr>
      <w:tr w:rsidR="00951742" w:rsidRPr="00C62BC1" w14:paraId="50F8B0DC" w14:textId="77777777" w:rsidTr="008E3EB5">
        <w:trPr>
          <w:jc w:val="center"/>
        </w:trPr>
        <w:tc>
          <w:tcPr>
            <w:tcW w:w="4395" w:type="dxa"/>
            <w:vAlign w:val="bottom"/>
          </w:tcPr>
          <w:p w14:paraId="4FAFE3A2" w14:textId="77777777" w:rsidR="007F367F" w:rsidRPr="00C62BC1" w:rsidRDefault="007F367F" w:rsidP="00C62BC1">
            <w:pPr>
              <w:spacing w:before="40" w:after="40"/>
              <w:jc w:val="both"/>
              <w:rPr>
                <w:rFonts w:ascii="Arial" w:hAnsi="Arial" w:cs="Arial"/>
                <w:sz w:val="20"/>
                <w:szCs w:val="20"/>
              </w:rPr>
            </w:pPr>
            <w:r w:rsidRPr="00C62BC1">
              <w:rPr>
                <w:rFonts w:ascii="Arial" w:hAnsi="Arial" w:cs="Arial"/>
                <w:sz w:val="20"/>
                <w:szCs w:val="20"/>
              </w:rPr>
              <w:t>Gỗ và sản phẩm gỗ</w:t>
            </w:r>
          </w:p>
        </w:tc>
        <w:tc>
          <w:tcPr>
            <w:tcW w:w="1984" w:type="dxa"/>
            <w:vAlign w:val="bottom"/>
          </w:tcPr>
          <w:p w14:paraId="29BCAFAB" w14:textId="77777777" w:rsidR="007F367F" w:rsidRPr="00C62BC1" w:rsidRDefault="007F367F" w:rsidP="00C62BC1">
            <w:pPr>
              <w:spacing w:before="40" w:after="40"/>
              <w:ind w:right="456" w:firstLine="567"/>
              <w:jc w:val="right"/>
              <w:rPr>
                <w:rFonts w:ascii="Arial" w:hAnsi="Arial" w:cs="Arial"/>
                <w:sz w:val="20"/>
                <w:szCs w:val="20"/>
              </w:rPr>
            </w:pPr>
            <w:r w:rsidRPr="00C62BC1">
              <w:rPr>
                <w:rFonts w:ascii="Arial" w:hAnsi="Arial" w:cs="Arial"/>
                <w:sz w:val="20"/>
                <w:szCs w:val="20"/>
              </w:rPr>
              <w:t>15.519</w:t>
            </w:r>
          </w:p>
        </w:tc>
        <w:tc>
          <w:tcPr>
            <w:tcW w:w="2551" w:type="dxa"/>
            <w:vAlign w:val="bottom"/>
          </w:tcPr>
          <w:p w14:paraId="46AC0997" w14:textId="77777777" w:rsidR="007F367F" w:rsidRPr="00C62BC1" w:rsidRDefault="007F367F" w:rsidP="00C62BC1">
            <w:pPr>
              <w:spacing w:before="40" w:after="40"/>
              <w:ind w:right="880" w:firstLine="567"/>
              <w:jc w:val="right"/>
              <w:rPr>
                <w:rFonts w:ascii="Arial" w:hAnsi="Arial" w:cs="Arial"/>
                <w:sz w:val="20"/>
                <w:szCs w:val="20"/>
              </w:rPr>
            </w:pPr>
            <w:r w:rsidRPr="00C62BC1">
              <w:rPr>
                <w:rFonts w:ascii="Arial" w:hAnsi="Arial" w:cs="Arial"/>
                <w:sz w:val="20"/>
                <w:szCs w:val="20"/>
              </w:rPr>
              <w:t>5,4</w:t>
            </w:r>
          </w:p>
        </w:tc>
      </w:tr>
      <w:tr w:rsidR="00951742" w:rsidRPr="00C62BC1" w14:paraId="2F65B9D4" w14:textId="77777777" w:rsidTr="008E3EB5">
        <w:trPr>
          <w:jc w:val="center"/>
        </w:trPr>
        <w:tc>
          <w:tcPr>
            <w:tcW w:w="4395" w:type="dxa"/>
            <w:vAlign w:val="bottom"/>
          </w:tcPr>
          <w:p w14:paraId="6FA5BAF1" w14:textId="77777777" w:rsidR="007F367F" w:rsidRPr="00C62BC1" w:rsidRDefault="007F367F" w:rsidP="00C62BC1">
            <w:pPr>
              <w:spacing w:before="40" w:after="40"/>
              <w:jc w:val="both"/>
              <w:rPr>
                <w:rFonts w:ascii="Arial" w:hAnsi="Arial" w:cs="Arial"/>
                <w:sz w:val="20"/>
                <w:szCs w:val="20"/>
              </w:rPr>
            </w:pPr>
            <w:r w:rsidRPr="00C62BC1">
              <w:rPr>
                <w:rFonts w:ascii="Arial" w:hAnsi="Arial" w:cs="Arial"/>
                <w:sz w:val="20"/>
                <w:szCs w:val="20"/>
              </w:rPr>
              <w:t xml:space="preserve">Thủy sản </w:t>
            </w:r>
          </w:p>
        </w:tc>
        <w:tc>
          <w:tcPr>
            <w:tcW w:w="1984" w:type="dxa"/>
            <w:vAlign w:val="bottom"/>
          </w:tcPr>
          <w:p w14:paraId="44019348" w14:textId="77777777" w:rsidR="007F367F" w:rsidRPr="00C62BC1" w:rsidRDefault="007F367F" w:rsidP="00C62BC1">
            <w:pPr>
              <w:spacing w:before="40" w:after="40"/>
              <w:ind w:right="456" w:firstLine="567"/>
              <w:jc w:val="right"/>
              <w:rPr>
                <w:rFonts w:ascii="Arial" w:hAnsi="Arial" w:cs="Arial"/>
                <w:sz w:val="20"/>
                <w:szCs w:val="20"/>
              </w:rPr>
            </w:pPr>
            <w:r w:rsidRPr="00C62BC1">
              <w:rPr>
                <w:rFonts w:ascii="Arial" w:hAnsi="Arial" w:cs="Arial"/>
                <w:sz w:val="20"/>
                <w:szCs w:val="20"/>
              </w:rPr>
              <w:t>10.317</w:t>
            </w:r>
          </w:p>
        </w:tc>
        <w:tc>
          <w:tcPr>
            <w:tcW w:w="2551" w:type="dxa"/>
            <w:vAlign w:val="bottom"/>
          </w:tcPr>
          <w:p w14:paraId="0B7C0202" w14:textId="77777777" w:rsidR="007F367F" w:rsidRPr="00C62BC1" w:rsidRDefault="007F367F" w:rsidP="00C62BC1">
            <w:pPr>
              <w:spacing w:before="40" w:after="40"/>
              <w:ind w:right="880" w:firstLine="567"/>
              <w:jc w:val="right"/>
              <w:rPr>
                <w:rFonts w:ascii="Arial" w:hAnsi="Arial" w:cs="Arial"/>
                <w:sz w:val="20"/>
                <w:szCs w:val="20"/>
              </w:rPr>
            </w:pPr>
            <w:r w:rsidRPr="00C62BC1">
              <w:rPr>
                <w:rFonts w:ascii="Arial" w:hAnsi="Arial" w:cs="Arial"/>
                <w:sz w:val="20"/>
                <w:szCs w:val="20"/>
              </w:rPr>
              <w:t>12,6</w:t>
            </w:r>
          </w:p>
        </w:tc>
      </w:tr>
    </w:tbl>
    <w:p w14:paraId="7098123F" w14:textId="137AB597" w:rsidR="007F367F" w:rsidRPr="00C62BC1" w:rsidRDefault="007F367F" w:rsidP="00C62BC1">
      <w:pPr>
        <w:tabs>
          <w:tab w:val="left" w:pos="9475"/>
        </w:tabs>
        <w:spacing w:before="40" w:after="40" w:line="288" w:lineRule="auto"/>
        <w:ind w:right="6"/>
        <w:jc w:val="both"/>
        <w:rPr>
          <w:rStyle w:val="Strong"/>
          <w:rFonts w:eastAsia="Calibri"/>
          <w:i/>
          <w:iCs/>
          <w:lang w:val="de-DE"/>
        </w:rPr>
      </w:pPr>
      <w:r w:rsidRPr="00C62BC1">
        <w:rPr>
          <w:noProof/>
          <w:spacing w:val="-2"/>
        </w:rPr>
        <w:lastRenderedPageBreak/>
        <mc:AlternateContent>
          <mc:Choice Requires="wps">
            <w:drawing>
              <wp:anchor distT="0" distB="0" distL="114300" distR="114300" simplePos="0" relativeHeight="251666432" behindDoc="0" locked="0" layoutInCell="1" allowOverlap="1" wp14:anchorId="1F7A5570" wp14:editId="1930829D">
                <wp:simplePos x="0" y="0"/>
                <wp:positionH relativeFrom="column">
                  <wp:posOffset>191770</wp:posOffset>
                </wp:positionH>
                <wp:positionV relativeFrom="paragraph">
                  <wp:posOffset>46355</wp:posOffset>
                </wp:positionV>
                <wp:extent cx="3170555" cy="2451735"/>
                <wp:effectExtent l="0" t="0" r="0" b="571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2451735"/>
                        </a:xfrm>
                        <a:prstGeom prst="rect">
                          <a:avLst/>
                        </a:prstGeom>
                        <a:solidFill>
                          <a:srgbClr val="FFFFFF"/>
                        </a:solidFill>
                        <a:ln w="9525">
                          <a:noFill/>
                          <a:miter lim="800000"/>
                          <a:headEnd/>
                          <a:tailEnd/>
                        </a:ln>
                      </wps:spPr>
                      <wps:txbx>
                        <w:txbxContent>
                          <w:p w14:paraId="5A72F1D2" w14:textId="45F3A3F7" w:rsidR="007F367F" w:rsidRPr="006822A2" w:rsidRDefault="007F367F" w:rsidP="007F367F">
                            <w:pPr>
                              <w:spacing w:after="120"/>
                              <w:jc w:val="center"/>
                              <w:rPr>
                                <w:rFonts w:ascii="Arial" w:hAnsi="Arial" w:cs="Arial"/>
                                <w:b/>
                                <w:bCs/>
                                <w:sz w:val="24"/>
                                <w:szCs w:val="24"/>
                              </w:rPr>
                            </w:pPr>
                            <w:r w:rsidRPr="006822A2">
                              <w:rPr>
                                <w:rFonts w:ascii="Arial" w:hAnsi="Arial" w:cs="Arial"/>
                                <w:b/>
                                <w:bCs/>
                                <w:sz w:val="24"/>
                                <w:szCs w:val="24"/>
                              </w:rPr>
                              <w:t xml:space="preserve">Hình </w:t>
                            </w:r>
                            <w:r w:rsidR="00594B17">
                              <w:rPr>
                                <w:rFonts w:ascii="Arial" w:hAnsi="Arial" w:cs="Arial"/>
                                <w:b/>
                                <w:bCs/>
                                <w:sz w:val="24"/>
                                <w:szCs w:val="24"/>
                              </w:rPr>
                              <w:t>12</w:t>
                            </w:r>
                            <w:r w:rsidRPr="006822A2">
                              <w:rPr>
                                <w:rFonts w:ascii="Arial" w:hAnsi="Arial" w:cs="Arial"/>
                                <w:b/>
                                <w:bCs/>
                                <w:sz w:val="24"/>
                                <w:szCs w:val="24"/>
                              </w:rPr>
                              <w:t xml:space="preserve">. Cơ cấu nhóm hàng xuất khẩu </w:t>
                            </w:r>
                          </w:p>
                          <w:p w14:paraId="06B3E5A7" w14:textId="77777777" w:rsidR="007F367F" w:rsidRPr="00FF25D5" w:rsidRDefault="007F367F" w:rsidP="007F367F">
                            <w:pPr>
                              <w:spacing w:after="120"/>
                              <w:jc w:val="center"/>
                              <w:rPr>
                                <w:rFonts w:asciiTheme="minorHAnsi" w:eastAsiaTheme="minorHAnsi" w:hAnsiTheme="minorHAnsi" w:cstheme="minorBidi"/>
                                <w:sz w:val="22"/>
                                <w:szCs w:val="22"/>
                              </w:rPr>
                            </w:pPr>
                            <w:r>
                              <w:rPr>
                                <w:rFonts w:ascii="Arial" w:hAnsi="Arial" w:cs="Arial"/>
                                <w:b/>
                                <w:bCs/>
                                <w:sz w:val="24"/>
                                <w:szCs w:val="24"/>
                              </w:rPr>
                              <w:t xml:space="preserve">11 tháng </w:t>
                            </w:r>
                            <w:r w:rsidRPr="006822A2">
                              <w:rPr>
                                <w:rFonts w:ascii="Arial" w:hAnsi="Arial" w:cs="Arial"/>
                                <w:b/>
                                <w:bCs/>
                                <w:sz w:val="24"/>
                                <w:szCs w:val="24"/>
                              </w:rPr>
                              <w:t>năm 2025</w:t>
                            </w:r>
                          </w:p>
                          <w:p w14:paraId="3E7DDB69" w14:textId="77777777" w:rsidR="007F367F" w:rsidRPr="00271B83" w:rsidRDefault="007F367F" w:rsidP="007F367F">
                            <w:pPr>
                              <w:spacing w:before="120" w:after="120"/>
                              <w:ind w:left="-142"/>
                              <w:jc w:val="center"/>
                              <w:rPr>
                                <w:rFonts w:ascii="Arial" w:hAnsi="Arial" w:cs="Arial"/>
                                <w:sz w:val="24"/>
                                <w:szCs w:val="24"/>
                              </w:rPr>
                            </w:pPr>
                            <w:r w:rsidRPr="005B4EA7">
                              <w:rPr>
                                <w:noProof/>
                              </w:rPr>
                              <w:drawing>
                                <wp:inline distT="0" distB="0" distL="0" distR="0" wp14:anchorId="1124A0E3" wp14:editId="453CF0D1">
                                  <wp:extent cx="3089275" cy="1877060"/>
                                  <wp:effectExtent l="0" t="0" r="0" b="8890"/>
                                  <wp:docPr id="270249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9275" cy="1877060"/>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type w14:anchorId="1F7A5570" id="_x0000_t202" coordsize="21600,21600" o:spt="202" path="m,l,21600r21600,l21600,xe">
                <v:stroke joinstyle="miter"/>
                <v:path gradientshapeok="t" o:connecttype="rect"/>
              </v:shapetype>
              <v:shape id="Text Box 2" o:spid="_x0000_s1026" type="#_x0000_t202" style="position:absolute;left:0;text-align:left;margin-left:15.1pt;margin-top:3.65pt;width:249.65pt;height:19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01CQIAAPcDAAAOAAAAZHJzL2Uyb0RvYy54bWysU9uO0zAQfUfiHyy/06Qt2V2ipqulSxHS&#10;cpEWPsB1nMbC8Zix26R8PWMn2y3whvCDNWOPz8ycOV7dDp1hR4Veg634fJZzpqyEWtt9xb993b66&#10;4cwHYWthwKqKn5Tnt+uXL1a9K9UCWjC1QkYg1pe9q3gbgiuzzMtWdcLPwClLlw1gJwK5uM9qFD2h&#10;dyZb5PlV1gPWDkEq7+n0frzk64TfNEqGz03jVWCm4lRbSDumfRf3bL0S5R6Fa7WcyhD/UEUntKWk&#10;Z6h7EQQ7oP4LqtMSwUMTZhK6DJpGS5V6oG7m+R/dPLbCqdQLkePdmSb//2Dlp+Oj+4IsDG9hoAGm&#10;Jrx7APndMwubVti9ukOEvlWipsTzSFnWO19OTyPVvvQRZNd/hJqGLA4BEtDQYBdZoT4ZodMATmfS&#10;1RCYpMPl/DovioIzSXeL18X8elmkHKJ8eu7Qh/cKOhaNiiNNNcGL44MPsRxRPoXEbB6MrrfamOTg&#10;frcxyI6CFLBNa0L/LcxY1lf8TbEoErKF+D6Jo9OBFGp0V/GbPK5RM5GOd7ZOIUFoM9pUibETP5GS&#10;kZww7AYKjDztoD4RUwijEunnkNEC/uSsJxVW3P84CFScmQ+W2F5exYQsXDp46ewuHWElQVU8cDaa&#10;m5CkHnmwcEdTaXTi67mSqVZSV6Jx+glRvpd+inr+r+tfAAAA//8DAFBLAwQUAAYACAAAACEAKhc6&#10;mt8AAAAIAQAADwAAAGRycy9kb3ducmV2LnhtbEyPwU7DMBBE70j8g7VIXCrqkLSUhjgVQvQEB9oi&#10;uLrxEkeN11HsNuHvu5zKcXZGM2+L1ehaccI+NJ4U3E8TEEiVNw3VCj5367tHECFqMrr1hAp+McCq&#10;vL4qdG78QBs8bWMtuIRCrhXYGLtcylBZdDpMfYfE3o/vnY4s+1qaXg9c7lqZJsmDdLohXrC6wxeL&#10;1WF7dAom9vA12QX9vX593wzDW1zMPlyv1O3N+PwEIuIYL2H4w2d0KJlp749kgmgVZEnKSQWLDATb&#10;83Q5B7Hn+zKbgSwL+f+B8gwAAP//AwBQSwECLQAUAAYACAAAACEAtoM4kv4AAADhAQAAEwAAAAAA&#10;AAAAAAAAAAAAAAAAW0NvbnRlbnRfVHlwZXNdLnhtbFBLAQItABQABgAIAAAAIQA4/SH/1gAAAJQB&#10;AAALAAAAAAAAAAAAAAAAAC8BAABfcmVscy8ucmVsc1BLAQItABQABgAIAAAAIQBAT+01CQIAAPcD&#10;AAAOAAAAAAAAAAAAAAAAAC4CAABkcnMvZTJvRG9jLnhtbFBLAQItABQABgAIAAAAIQAqFzqa3wAA&#10;AAgBAAAPAAAAAAAAAAAAAAAAAGMEAABkcnMvZG93bnJldi54bWxQSwUGAAAAAAQABADzAAAAbwUA&#10;AAAA&#10;" stroked="f">
                <v:textbox inset="1mm,1mm,1mm,1mm">
                  <w:txbxContent>
                    <w:p w14:paraId="5A72F1D2" w14:textId="45F3A3F7" w:rsidR="007F367F" w:rsidRPr="006822A2" w:rsidRDefault="007F367F" w:rsidP="007F367F">
                      <w:pPr>
                        <w:spacing w:after="120"/>
                        <w:jc w:val="center"/>
                        <w:rPr>
                          <w:rFonts w:ascii="Arial" w:hAnsi="Arial" w:cs="Arial"/>
                          <w:b/>
                          <w:bCs/>
                          <w:sz w:val="24"/>
                          <w:szCs w:val="24"/>
                        </w:rPr>
                      </w:pPr>
                      <w:r w:rsidRPr="006822A2">
                        <w:rPr>
                          <w:rFonts w:ascii="Arial" w:hAnsi="Arial" w:cs="Arial"/>
                          <w:b/>
                          <w:bCs/>
                          <w:sz w:val="24"/>
                          <w:szCs w:val="24"/>
                        </w:rPr>
                        <w:t xml:space="preserve">Hình </w:t>
                      </w:r>
                      <w:r w:rsidR="00594B17">
                        <w:rPr>
                          <w:rFonts w:ascii="Arial" w:hAnsi="Arial" w:cs="Arial"/>
                          <w:b/>
                          <w:bCs/>
                          <w:sz w:val="24"/>
                          <w:szCs w:val="24"/>
                        </w:rPr>
                        <w:t>12</w:t>
                      </w:r>
                      <w:r w:rsidRPr="006822A2">
                        <w:rPr>
                          <w:rFonts w:ascii="Arial" w:hAnsi="Arial" w:cs="Arial"/>
                          <w:b/>
                          <w:bCs/>
                          <w:sz w:val="24"/>
                          <w:szCs w:val="24"/>
                        </w:rPr>
                        <w:t xml:space="preserve">. Cơ cấu nhóm hàng xuất khẩu </w:t>
                      </w:r>
                    </w:p>
                    <w:p w14:paraId="06B3E5A7" w14:textId="77777777" w:rsidR="007F367F" w:rsidRPr="00FF25D5" w:rsidRDefault="007F367F" w:rsidP="007F367F">
                      <w:pPr>
                        <w:spacing w:after="120"/>
                        <w:jc w:val="center"/>
                        <w:rPr>
                          <w:rFonts w:asciiTheme="minorHAnsi" w:eastAsiaTheme="minorHAnsi" w:hAnsiTheme="minorHAnsi" w:cstheme="minorBidi"/>
                          <w:sz w:val="22"/>
                          <w:szCs w:val="22"/>
                        </w:rPr>
                      </w:pPr>
                      <w:r>
                        <w:rPr>
                          <w:rFonts w:ascii="Arial" w:hAnsi="Arial" w:cs="Arial"/>
                          <w:b/>
                          <w:bCs/>
                          <w:sz w:val="24"/>
                          <w:szCs w:val="24"/>
                        </w:rPr>
                        <w:t xml:space="preserve">11 tháng </w:t>
                      </w:r>
                      <w:r w:rsidRPr="006822A2">
                        <w:rPr>
                          <w:rFonts w:ascii="Arial" w:hAnsi="Arial" w:cs="Arial"/>
                          <w:b/>
                          <w:bCs/>
                          <w:sz w:val="24"/>
                          <w:szCs w:val="24"/>
                        </w:rPr>
                        <w:t>năm 2025</w:t>
                      </w:r>
                    </w:p>
                    <w:p w14:paraId="3E7DDB69" w14:textId="77777777" w:rsidR="007F367F" w:rsidRPr="00271B83" w:rsidRDefault="007F367F" w:rsidP="007F367F">
                      <w:pPr>
                        <w:spacing w:before="120" w:after="120"/>
                        <w:ind w:left="-142"/>
                        <w:jc w:val="center"/>
                        <w:rPr>
                          <w:rFonts w:ascii="Arial" w:hAnsi="Arial" w:cs="Arial"/>
                          <w:sz w:val="24"/>
                          <w:szCs w:val="24"/>
                        </w:rPr>
                      </w:pPr>
                      <w:r w:rsidRPr="005B4EA7">
                        <w:rPr>
                          <w:noProof/>
                        </w:rPr>
                        <w:drawing>
                          <wp:inline distT="0" distB="0" distL="0" distR="0" wp14:anchorId="1124A0E3" wp14:editId="453CF0D1">
                            <wp:extent cx="3089275" cy="1877060"/>
                            <wp:effectExtent l="0" t="0" r="0" b="8890"/>
                            <wp:docPr id="270249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9275" cy="1877060"/>
                                    </a:xfrm>
                                    <a:prstGeom prst="rect">
                                      <a:avLst/>
                                    </a:prstGeom>
                                    <a:noFill/>
                                    <a:ln>
                                      <a:noFill/>
                                    </a:ln>
                                  </pic:spPr>
                                </pic:pic>
                              </a:graphicData>
                            </a:graphic>
                          </wp:inline>
                        </w:drawing>
                      </w:r>
                    </w:p>
                  </w:txbxContent>
                </v:textbox>
                <w10:wrap type="square"/>
              </v:shape>
            </w:pict>
          </mc:Fallback>
        </mc:AlternateContent>
      </w:r>
      <w:r w:rsidRPr="00C62BC1">
        <w:rPr>
          <w:rFonts w:eastAsia="Batang"/>
          <w:bCs/>
          <w:i/>
          <w:noProof/>
        </w:rPr>
        <w:t xml:space="preserve">Về cơ cấu nhóm hàng xuất khẩu </w:t>
      </w:r>
      <w:r w:rsidR="006B2130" w:rsidRPr="00C62BC1">
        <w:rPr>
          <w:rFonts w:eastAsia="Batang"/>
          <w:bCs/>
          <w:i/>
          <w:noProof/>
        </w:rPr>
        <w:t>mười một</w:t>
      </w:r>
      <w:r w:rsidRPr="00C62BC1">
        <w:rPr>
          <w:rFonts w:eastAsia="Batang"/>
          <w:bCs/>
          <w:i/>
          <w:noProof/>
        </w:rPr>
        <w:t xml:space="preserve"> tháng năm 2025, </w:t>
      </w:r>
      <w:r w:rsidRPr="00C62BC1">
        <w:rPr>
          <w:rFonts w:eastAsia="Batang"/>
          <w:bCs/>
          <w:iCs/>
          <w:noProof/>
        </w:rPr>
        <w:t>nhóm hàng công nghiệp chế biến đạt 381,72 tỷ USD, chiếm 88,7%; nhóm hàng nông sản, lâm sản đạt 35,58 tỷ USD, chiếm 8,3%; nhóm hàng thủy sản đạt 10,32 tỷ USD, chiếm 2,4%; nhóm hàng nhiên liệu và khoáng sản đạt 2,52 tỷ USD, chiếm 0,6%.</w:t>
      </w:r>
      <w:r w:rsidRPr="00C62BC1">
        <w:rPr>
          <w:rFonts w:eastAsia="Batang"/>
          <w:bCs/>
          <w:i/>
          <w:noProof/>
        </w:rPr>
        <w:t xml:space="preserve">  </w:t>
      </w:r>
    </w:p>
    <w:p w14:paraId="1500ED9B" w14:textId="77777777" w:rsidR="007F367F" w:rsidRPr="00C62BC1" w:rsidRDefault="007F367F" w:rsidP="00C62BC1">
      <w:pPr>
        <w:tabs>
          <w:tab w:val="left" w:pos="9475"/>
        </w:tabs>
        <w:spacing w:after="120" w:line="264" w:lineRule="auto"/>
        <w:ind w:right="6" w:firstLine="720"/>
        <w:jc w:val="both"/>
        <w:rPr>
          <w:rStyle w:val="Strong"/>
          <w:rFonts w:eastAsia="Calibri"/>
          <w:i/>
          <w:iCs/>
          <w:lang w:val="de-DE"/>
        </w:rPr>
      </w:pPr>
      <w:r w:rsidRPr="00C62BC1">
        <w:rPr>
          <w:rStyle w:val="Strong"/>
          <w:rFonts w:eastAsia="Calibri"/>
          <w:i/>
          <w:iCs/>
          <w:lang w:val="de-DE"/>
        </w:rPr>
        <w:t>Nhập khẩu hàng hóa</w:t>
      </w:r>
    </w:p>
    <w:p w14:paraId="5FA80A61" w14:textId="77777777" w:rsidR="007F367F" w:rsidRPr="00C62BC1" w:rsidRDefault="007F367F" w:rsidP="00C62BC1">
      <w:pPr>
        <w:tabs>
          <w:tab w:val="left" w:pos="9475"/>
        </w:tabs>
        <w:spacing w:after="120" w:line="264" w:lineRule="auto"/>
        <w:ind w:right="6" w:firstLine="720"/>
        <w:jc w:val="both"/>
        <w:rPr>
          <w:bCs/>
        </w:rPr>
      </w:pPr>
      <w:r w:rsidRPr="00C62BC1">
        <w:rPr>
          <w:bCs/>
          <w:lang w:val="de-DE"/>
        </w:rPr>
        <w:t>Kim ngạch nhập khẩu hàng hóa tháng Mười sơ bộ đạt 39,45 tỷ USD</w:t>
      </w:r>
      <w:bookmarkStart w:id="6" w:name="_Hlk213089943"/>
      <w:r w:rsidRPr="00C62BC1">
        <w:rPr>
          <w:rStyle w:val="FootnoteReference"/>
          <w:bCs/>
          <w:lang w:val="de-DE"/>
        </w:rPr>
        <w:footnoteReference w:id="23"/>
      </w:r>
      <w:bookmarkEnd w:id="6"/>
      <w:r w:rsidRPr="00C62BC1">
        <w:rPr>
          <w:bCs/>
          <w:lang w:val="de-DE"/>
        </w:rPr>
        <w:t>.</w:t>
      </w:r>
      <w:r w:rsidRPr="00C62BC1">
        <w:rPr>
          <w:bCs/>
        </w:rPr>
        <w:t xml:space="preserve"> </w:t>
      </w:r>
    </w:p>
    <w:p w14:paraId="4CA3187C" w14:textId="77777777" w:rsidR="007F367F" w:rsidRPr="00C62BC1" w:rsidRDefault="007F367F" w:rsidP="00C62BC1">
      <w:pPr>
        <w:tabs>
          <w:tab w:val="left" w:pos="9475"/>
        </w:tabs>
        <w:spacing w:after="120" w:line="264" w:lineRule="auto"/>
        <w:ind w:right="6" w:firstLine="720"/>
        <w:jc w:val="both"/>
        <w:rPr>
          <w:bCs/>
          <w:lang w:val="de-DE"/>
        </w:rPr>
      </w:pPr>
      <w:r w:rsidRPr="00C62BC1">
        <w:rPr>
          <w:bCs/>
          <w:lang w:val="de-DE"/>
        </w:rPr>
        <w:t xml:space="preserve">Kim ngạch nhập khẩu hàng hóa tháng Mười Một đạt 37,98 tỷ USD, giảm 3,7% so với tháng trước. Trong đó, khu vực kinh tế trong nước đạt 11,34 tỷ USD, giảm 0,4%; khu vực có vốn đầu tư nước ngoài đạt 26,64 tỷ USD, giảm 5,1%. So với cùng kỳ năm trước, kim ngạch nhập khẩu hàng hóa tháng Mười Một tăng 16,0%, trong đó khu vực kinh tế trong nước giảm 8,8%; khu vực có vốn đầu tư nước ngoài tăng 31,2%. </w:t>
      </w:r>
    </w:p>
    <w:p w14:paraId="27EF2072" w14:textId="77777777" w:rsidR="007F367F" w:rsidRPr="00C62BC1" w:rsidRDefault="007F367F" w:rsidP="00C62BC1">
      <w:pPr>
        <w:tabs>
          <w:tab w:val="left" w:pos="9475"/>
        </w:tabs>
        <w:spacing w:after="120" w:line="264" w:lineRule="auto"/>
        <w:ind w:right="6" w:firstLine="720"/>
        <w:jc w:val="both"/>
        <w:rPr>
          <w:bCs/>
          <w:lang w:val="de-DE"/>
        </w:rPr>
      </w:pPr>
      <w:r w:rsidRPr="00C62BC1">
        <w:rPr>
          <w:bCs/>
          <w:lang w:val="de-DE"/>
        </w:rPr>
        <w:t>Tính chung mười một tháng năm 2025, kim ngạch nhập khẩu hàng hóa đạt 409,61 tỷ USD, tăng 18,4% so với cùng kỳ năm trước, trong đó khu vực kinh tế trong nước đạt 128,4 tỷ USD, tăng 1,7%; khu vực có vốn đầu tư nước ngoài đạt 281,21 tỷ USD, tăng 28,0%.</w:t>
      </w:r>
    </w:p>
    <w:p w14:paraId="1BBC6F43" w14:textId="77777777" w:rsidR="007F367F" w:rsidRPr="00C62BC1" w:rsidRDefault="007F367F" w:rsidP="00C62BC1">
      <w:pPr>
        <w:tabs>
          <w:tab w:val="left" w:pos="9475"/>
        </w:tabs>
        <w:spacing w:after="120" w:line="264" w:lineRule="auto"/>
        <w:ind w:right="6" w:firstLine="720"/>
        <w:jc w:val="both"/>
        <w:rPr>
          <w:rStyle w:val="Strong"/>
          <w:rFonts w:asciiTheme="minorHAnsi" w:eastAsiaTheme="minorHAnsi" w:hAnsiTheme="minorHAnsi" w:cstheme="minorBidi"/>
          <w:b w:val="0"/>
          <w:bCs w:val="0"/>
          <w:sz w:val="22"/>
          <w:szCs w:val="22"/>
        </w:rPr>
      </w:pPr>
      <w:r w:rsidRPr="00C62BC1">
        <w:rPr>
          <w:bCs/>
          <w:lang w:val="de-DE"/>
        </w:rPr>
        <w:t>Trong mười một tháng năm 2025 có 47 mặt hàng nhập khẩu đạt trị giá trên 1 tỷ USD, chiếm tỷ trọng 93,9% tổng kim ngạch nhập khẩu (có 6 mặt hàng nhập khẩu trên 10 tỷ USD, chiếm 57,7%).</w:t>
      </w:r>
    </w:p>
    <w:p w14:paraId="27051982" w14:textId="662699A1" w:rsidR="007F367F" w:rsidRPr="00C62BC1" w:rsidRDefault="007F367F" w:rsidP="00C62BC1">
      <w:pPr>
        <w:tabs>
          <w:tab w:val="left" w:pos="9475"/>
        </w:tabs>
        <w:spacing w:before="40" w:after="40" w:line="288" w:lineRule="auto"/>
        <w:ind w:right="6"/>
        <w:jc w:val="center"/>
        <w:rPr>
          <w:rFonts w:ascii="Arial" w:hAnsi="Arial" w:cs="Arial"/>
          <w:b/>
          <w:bCs/>
          <w:sz w:val="8"/>
          <w:szCs w:val="24"/>
          <w:lang w:val="de-DE"/>
        </w:rPr>
      </w:pPr>
      <w:r w:rsidRPr="00C62BC1">
        <w:rPr>
          <w:rFonts w:ascii="Arial" w:hAnsi="Arial" w:cs="Arial"/>
          <w:b/>
          <w:spacing w:val="-2"/>
          <w:sz w:val="24"/>
          <w:szCs w:val="20"/>
          <w:lang w:val="pl-PL"/>
        </w:rPr>
        <w:t xml:space="preserve">Biểu </w:t>
      </w:r>
      <w:r w:rsidR="00594B17" w:rsidRPr="00C62BC1">
        <w:rPr>
          <w:rFonts w:ascii="Arial" w:hAnsi="Arial" w:cs="Arial"/>
          <w:b/>
          <w:spacing w:val="-2"/>
          <w:sz w:val="24"/>
          <w:szCs w:val="20"/>
          <w:lang w:val="pl-PL"/>
        </w:rPr>
        <w:t>5</w:t>
      </w:r>
      <w:r w:rsidRPr="00C62BC1">
        <w:rPr>
          <w:rFonts w:ascii="Arial" w:hAnsi="Arial" w:cs="Arial"/>
          <w:b/>
          <w:spacing w:val="-2"/>
          <w:sz w:val="24"/>
          <w:szCs w:val="20"/>
          <w:lang w:val="pl-PL"/>
        </w:rPr>
        <w:t>. Giá trị</w:t>
      </w:r>
      <w:r w:rsidRPr="00C62BC1">
        <w:rPr>
          <w:rFonts w:ascii="Arial" w:hAnsi="Arial" w:cs="Arial"/>
          <w:b/>
          <w:bCs/>
          <w:sz w:val="24"/>
          <w:szCs w:val="24"/>
          <w:lang w:val="de-DE"/>
        </w:rPr>
        <w:t xml:space="preserve"> một số mặt hàng nhập khẩu 11 tháng năm 2025</w:t>
      </w:r>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842"/>
        <w:gridCol w:w="2552"/>
      </w:tblGrid>
      <w:tr w:rsidR="00951742" w:rsidRPr="00C62BC1" w14:paraId="26F78E93" w14:textId="77777777" w:rsidTr="008E3EB5">
        <w:trPr>
          <w:jc w:val="center"/>
        </w:trPr>
        <w:tc>
          <w:tcPr>
            <w:tcW w:w="4395" w:type="dxa"/>
          </w:tcPr>
          <w:p w14:paraId="09B06499" w14:textId="77777777" w:rsidR="007F367F" w:rsidRPr="00C62BC1" w:rsidRDefault="007F367F" w:rsidP="00C62BC1">
            <w:pPr>
              <w:tabs>
                <w:tab w:val="num" w:pos="0"/>
                <w:tab w:val="left" w:pos="9475"/>
              </w:tabs>
              <w:spacing w:before="40" w:after="40"/>
              <w:ind w:right="119" w:firstLine="567"/>
              <w:jc w:val="both"/>
              <w:rPr>
                <w:rFonts w:ascii="Arial" w:hAnsi="Arial" w:cs="Arial"/>
                <w:b/>
                <w:bCs/>
                <w:i/>
                <w:iCs/>
                <w:sz w:val="20"/>
                <w:szCs w:val="20"/>
                <w:lang w:val="es-NI"/>
              </w:rPr>
            </w:pPr>
            <w:r w:rsidRPr="00C62BC1">
              <w:rPr>
                <w:rFonts w:ascii="Arial" w:hAnsi="Arial" w:cs="Arial"/>
                <w:b/>
                <w:bCs/>
                <w:i/>
                <w:iCs/>
                <w:sz w:val="20"/>
                <w:szCs w:val="20"/>
                <w:lang w:val="es-NI"/>
              </w:rPr>
              <w:t xml:space="preserve"> </w:t>
            </w:r>
          </w:p>
        </w:tc>
        <w:tc>
          <w:tcPr>
            <w:tcW w:w="1842" w:type="dxa"/>
            <w:tcBorders>
              <w:top w:val="single" w:sz="4" w:space="0" w:color="auto"/>
              <w:bottom w:val="single" w:sz="4" w:space="0" w:color="auto"/>
            </w:tcBorders>
          </w:tcPr>
          <w:p w14:paraId="4F10094A" w14:textId="77777777" w:rsidR="007F367F" w:rsidRPr="00C62BC1" w:rsidRDefault="007F367F" w:rsidP="00C62BC1">
            <w:pPr>
              <w:spacing w:before="40" w:after="40"/>
              <w:ind w:firstLine="31"/>
              <w:jc w:val="center"/>
              <w:rPr>
                <w:rFonts w:ascii="Arial" w:hAnsi="Arial" w:cs="Arial"/>
                <w:sz w:val="20"/>
                <w:szCs w:val="20"/>
                <w:lang w:val="es-NI"/>
              </w:rPr>
            </w:pPr>
            <w:r w:rsidRPr="00C62BC1">
              <w:rPr>
                <w:rFonts w:ascii="Arial" w:hAnsi="Arial" w:cs="Arial"/>
                <w:sz w:val="20"/>
                <w:szCs w:val="20"/>
                <w:lang w:val="es-NI"/>
              </w:rPr>
              <w:t xml:space="preserve">Giá trị </w:t>
            </w:r>
          </w:p>
          <w:p w14:paraId="35412F34" w14:textId="77777777" w:rsidR="007F367F" w:rsidRPr="00C62BC1" w:rsidRDefault="007F367F" w:rsidP="00C62BC1">
            <w:pPr>
              <w:spacing w:before="40" w:after="40"/>
              <w:ind w:firstLine="31"/>
              <w:jc w:val="center"/>
              <w:rPr>
                <w:rFonts w:ascii="Arial" w:hAnsi="Arial" w:cs="Arial"/>
                <w:b/>
                <w:bCs/>
                <w:i/>
                <w:iCs/>
                <w:sz w:val="20"/>
                <w:szCs w:val="20"/>
                <w:lang w:val="es-NI"/>
              </w:rPr>
            </w:pPr>
            <w:r w:rsidRPr="00C62BC1">
              <w:rPr>
                <w:rFonts w:ascii="Arial" w:hAnsi="Arial" w:cs="Arial"/>
                <w:i/>
                <w:iCs/>
                <w:sz w:val="20"/>
                <w:szCs w:val="20"/>
                <w:lang w:val="es-NI"/>
              </w:rPr>
              <w:t>(Triệu USD)</w:t>
            </w:r>
          </w:p>
        </w:tc>
        <w:tc>
          <w:tcPr>
            <w:tcW w:w="2552" w:type="dxa"/>
            <w:tcBorders>
              <w:top w:val="single" w:sz="4" w:space="0" w:color="auto"/>
              <w:bottom w:val="single" w:sz="4" w:space="0" w:color="auto"/>
            </w:tcBorders>
          </w:tcPr>
          <w:p w14:paraId="20BCB722" w14:textId="77777777" w:rsidR="007F367F" w:rsidRPr="00C62BC1" w:rsidRDefault="007F367F" w:rsidP="00C62BC1">
            <w:pPr>
              <w:spacing w:before="40" w:after="40"/>
              <w:jc w:val="center"/>
              <w:rPr>
                <w:rFonts w:ascii="Arial" w:hAnsi="Arial" w:cs="Arial"/>
                <w:sz w:val="20"/>
                <w:szCs w:val="20"/>
                <w:lang w:val="es-NI"/>
              </w:rPr>
            </w:pPr>
            <w:r w:rsidRPr="00C62BC1">
              <w:rPr>
                <w:rFonts w:ascii="Arial" w:hAnsi="Arial" w:cs="Arial"/>
                <w:sz w:val="20"/>
                <w:szCs w:val="20"/>
                <w:lang w:val="es-NI"/>
              </w:rPr>
              <w:t xml:space="preserve">Tốc độ tăng so với </w:t>
            </w:r>
          </w:p>
          <w:p w14:paraId="02CA53A5" w14:textId="77777777" w:rsidR="007F367F" w:rsidRPr="00C62BC1" w:rsidRDefault="007F367F" w:rsidP="00C62BC1">
            <w:pPr>
              <w:spacing w:before="40" w:after="40"/>
              <w:jc w:val="center"/>
              <w:rPr>
                <w:rFonts w:ascii="Arial" w:hAnsi="Arial" w:cs="Arial"/>
                <w:b/>
                <w:bCs/>
                <w:i/>
                <w:iCs/>
                <w:sz w:val="20"/>
                <w:szCs w:val="20"/>
              </w:rPr>
            </w:pPr>
            <w:r w:rsidRPr="00C62BC1">
              <w:rPr>
                <w:rFonts w:ascii="Arial" w:hAnsi="Arial" w:cs="Arial"/>
                <w:sz w:val="20"/>
                <w:szCs w:val="20"/>
              </w:rPr>
              <w:t xml:space="preserve">cùng kỳ năm trước </w:t>
            </w:r>
            <w:r w:rsidRPr="00C62BC1">
              <w:rPr>
                <w:rFonts w:ascii="Arial" w:hAnsi="Arial" w:cs="Arial"/>
                <w:i/>
                <w:iCs/>
                <w:sz w:val="20"/>
                <w:szCs w:val="20"/>
              </w:rPr>
              <w:t>(%)</w:t>
            </w:r>
          </w:p>
        </w:tc>
      </w:tr>
      <w:tr w:rsidR="00951742" w:rsidRPr="00C62BC1" w14:paraId="117AFBB6" w14:textId="77777777" w:rsidTr="008E3EB5">
        <w:tblPrEx>
          <w:tblBorders>
            <w:bottom w:val="none" w:sz="0" w:space="0" w:color="auto"/>
          </w:tblBorders>
        </w:tblPrEx>
        <w:trPr>
          <w:trHeight w:val="394"/>
          <w:jc w:val="center"/>
        </w:trPr>
        <w:tc>
          <w:tcPr>
            <w:tcW w:w="4395" w:type="dxa"/>
            <w:vAlign w:val="bottom"/>
          </w:tcPr>
          <w:p w14:paraId="022568A3" w14:textId="77777777" w:rsidR="007F367F" w:rsidRPr="00C62BC1" w:rsidRDefault="007F367F" w:rsidP="00C62BC1">
            <w:pPr>
              <w:spacing w:before="40" w:after="40"/>
              <w:jc w:val="both"/>
              <w:rPr>
                <w:rFonts w:ascii="Arial" w:hAnsi="Arial" w:cs="Arial"/>
                <w:b/>
                <w:bCs/>
                <w:sz w:val="20"/>
                <w:szCs w:val="20"/>
              </w:rPr>
            </w:pPr>
            <w:r w:rsidRPr="00C62BC1">
              <w:rPr>
                <w:rFonts w:ascii="Arial" w:hAnsi="Arial" w:cs="Arial"/>
                <w:b/>
                <w:bCs/>
                <w:sz w:val="20"/>
                <w:szCs w:val="20"/>
              </w:rPr>
              <w:t>Các mặt hàng đạt giá trị trên 10 tỷ USD</w:t>
            </w:r>
          </w:p>
        </w:tc>
        <w:tc>
          <w:tcPr>
            <w:tcW w:w="1842" w:type="dxa"/>
            <w:tcBorders>
              <w:top w:val="single" w:sz="4" w:space="0" w:color="auto"/>
            </w:tcBorders>
          </w:tcPr>
          <w:p w14:paraId="702BE76A" w14:textId="77777777" w:rsidR="007F367F" w:rsidRPr="00C62BC1" w:rsidRDefault="007F367F" w:rsidP="00C62BC1">
            <w:pPr>
              <w:tabs>
                <w:tab w:val="num" w:pos="0"/>
                <w:tab w:val="left" w:pos="9475"/>
              </w:tabs>
              <w:spacing w:before="40" w:after="40"/>
              <w:ind w:right="119" w:firstLine="567"/>
              <w:jc w:val="both"/>
              <w:rPr>
                <w:rFonts w:ascii="Arial" w:hAnsi="Arial" w:cs="Arial"/>
                <w:b/>
                <w:bCs/>
                <w:i/>
                <w:iCs/>
                <w:sz w:val="20"/>
                <w:szCs w:val="20"/>
              </w:rPr>
            </w:pPr>
          </w:p>
        </w:tc>
        <w:tc>
          <w:tcPr>
            <w:tcW w:w="2552" w:type="dxa"/>
            <w:tcBorders>
              <w:top w:val="single" w:sz="4" w:space="0" w:color="auto"/>
            </w:tcBorders>
          </w:tcPr>
          <w:p w14:paraId="5F59C22C" w14:textId="77777777" w:rsidR="007F367F" w:rsidRPr="00C62BC1" w:rsidRDefault="007F367F" w:rsidP="00C62BC1">
            <w:pPr>
              <w:tabs>
                <w:tab w:val="num" w:pos="0"/>
                <w:tab w:val="left" w:pos="9475"/>
              </w:tabs>
              <w:spacing w:before="40" w:after="40"/>
              <w:ind w:right="119" w:firstLine="567"/>
              <w:jc w:val="both"/>
              <w:rPr>
                <w:rFonts w:ascii="Arial" w:hAnsi="Arial" w:cs="Arial"/>
                <w:b/>
                <w:bCs/>
                <w:i/>
                <w:iCs/>
                <w:sz w:val="20"/>
                <w:szCs w:val="20"/>
              </w:rPr>
            </w:pPr>
          </w:p>
        </w:tc>
      </w:tr>
      <w:tr w:rsidR="00951742" w:rsidRPr="00C62BC1" w14:paraId="03A31531" w14:textId="77777777" w:rsidTr="008E3EB5">
        <w:trPr>
          <w:jc w:val="center"/>
        </w:trPr>
        <w:tc>
          <w:tcPr>
            <w:tcW w:w="4395" w:type="dxa"/>
            <w:vAlign w:val="bottom"/>
          </w:tcPr>
          <w:p w14:paraId="361733E8" w14:textId="77777777" w:rsidR="007F367F" w:rsidRPr="00C62BC1" w:rsidRDefault="007F367F" w:rsidP="00C62BC1">
            <w:pPr>
              <w:spacing w:before="40" w:after="40"/>
              <w:jc w:val="both"/>
              <w:rPr>
                <w:rFonts w:ascii="Arial" w:hAnsi="Arial" w:cs="Arial"/>
                <w:sz w:val="20"/>
                <w:szCs w:val="20"/>
              </w:rPr>
            </w:pPr>
            <w:r w:rsidRPr="00C62BC1">
              <w:rPr>
                <w:rFonts w:ascii="Arial" w:hAnsi="Arial" w:cs="Arial"/>
                <w:sz w:val="20"/>
                <w:szCs w:val="20"/>
              </w:rPr>
              <w:t>Điện tử, máy tính và linh kiện</w:t>
            </w:r>
          </w:p>
        </w:tc>
        <w:tc>
          <w:tcPr>
            <w:tcW w:w="1842" w:type="dxa"/>
            <w:vAlign w:val="bottom"/>
          </w:tcPr>
          <w:p w14:paraId="332F2D5D" w14:textId="77777777" w:rsidR="007F367F" w:rsidRPr="00C62BC1" w:rsidRDefault="007F367F" w:rsidP="00C62BC1">
            <w:pPr>
              <w:spacing w:before="40" w:after="40"/>
              <w:ind w:right="319" w:firstLine="567"/>
              <w:jc w:val="right"/>
              <w:rPr>
                <w:rFonts w:ascii="Arial" w:hAnsi="Arial" w:cs="Arial"/>
                <w:sz w:val="20"/>
                <w:szCs w:val="20"/>
              </w:rPr>
            </w:pPr>
            <w:r w:rsidRPr="00C62BC1">
              <w:rPr>
                <w:rFonts w:ascii="Arial" w:hAnsi="Arial" w:cs="Arial"/>
                <w:sz w:val="20"/>
                <w:szCs w:val="20"/>
              </w:rPr>
              <w:t>136.167</w:t>
            </w:r>
          </w:p>
        </w:tc>
        <w:tc>
          <w:tcPr>
            <w:tcW w:w="2552" w:type="dxa"/>
            <w:vAlign w:val="bottom"/>
          </w:tcPr>
          <w:p w14:paraId="33EC19B5" w14:textId="77777777" w:rsidR="007F367F" w:rsidRPr="00C62BC1" w:rsidRDefault="007F367F" w:rsidP="00C62BC1">
            <w:pPr>
              <w:spacing w:before="40" w:after="40"/>
              <w:ind w:right="880" w:firstLine="567"/>
              <w:jc w:val="right"/>
              <w:rPr>
                <w:rFonts w:ascii="Arial" w:hAnsi="Arial" w:cs="Arial"/>
                <w:sz w:val="20"/>
                <w:szCs w:val="20"/>
              </w:rPr>
            </w:pPr>
            <w:r w:rsidRPr="00C62BC1">
              <w:rPr>
                <w:rFonts w:ascii="Arial" w:hAnsi="Arial" w:cs="Arial"/>
                <w:sz w:val="20"/>
                <w:szCs w:val="20"/>
              </w:rPr>
              <w:t>39,2</w:t>
            </w:r>
          </w:p>
        </w:tc>
      </w:tr>
      <w:tr w:rsidR="00951742" w:rsidRPr="00C62BC1" w14:paraId="599C6943" w14:textId="77777777" w:rsidTr="008E3EB5">
        <w:trPr>
          <w:jc w:val="center"/>
        </w:trPr>
        <w:tc>
          <w:tcPr>
            <w:tcW w:w="4395" w:type="dxa"/>
            <w:vAlign w:val="bottom"/>
          </w:tcPr>
          <w:p w14:paraId="2270A383" w14:textId="77777777" w:rsidR="007F367F" w:rsidRPr="00C62BC1" w:rsidRDefault="007F367F" w:rsidP="00C62BC1">
            <w:pPr>
              <w:spacing w:before="40" w:after="40"/>
              <w:jc w:val="both"/>
              <w:rPr>
                <w:rFonts w:ascii="Arial" w:hAnsi="Arial" w:cs="Arial"/>
                <w:sz w:val="20"/>
                <w:szCs w:val="20"/>
              </w:rPr>
            </w:pPr>
            <w:r w:rsidRPr="00C62BC1">
              <w:rPr>
                <w:rFonts w:ascii="Arial" w:hAnsi="Arial" w:cs="Arial"/>
                <w:sz w:val="20"/>
                <w:szCs w:val="20"/>
              </w:rPr>
              <w:t>Máy móc, thiết bị, dụng cụ, phụ tùng khác</w:t>
            </w:r>
          </w:p>
        </w:tc>
        <w:tc>
          <w:tcPr>
            <w:tcW w:w="1842" w:type="dxa"/>
            <w:vAlign w:val="bottom"/>
          </w:tcPr>
          <w:p w14:paraId="563DA098" w14:textId="77777777" w:rsidR="007F367F" w:rsidRPr="00C62BC1" w:rsidRDefault="007F367F" w:rsidP="00C62BC1">
            <w:pPr>
              <w:spacing w:before="40" w:after="40"/>
              <w:ind w:right="319" w:firstLine="567"/>
              <w:jc w:val="right"/>
              <w:rPr>
                <w:rFonts w:ascii="Arial" w:hAnsi="Arial" w:cs="Arial"/>
                <w:sz w:val="20"/>
                <w:szCs w:val="20"/>
              </w:rPr>
            </w:pPr>
            <w:r w:rsidRPr="00C62BC1">
              <w:rPr>
                <w:rFonts w:ascii="Arial" w:hAnsi="Arial" w:cs="Arial"/>
                <w:sz w:val="20"/>
                <w:szCs w:val="20"/>
              </w:rPr>
              <w:t>54.752</w:t>
            </w:r>
          </w:p>
        </w:tc>
        <w:tc>
          <w:tcPr>
            <w:tcW w:w="2552" w:type="dxa"/>
            <w:vAlign w:val="bottom"/>
          </w:tcPr>
          <w:p w14:paraId="1546D66A" w14:textId="77777777" w:rsidR="007F367F" w:rsidRPr="00C62BC1" w:rsidRDefault="007F367F" w:rsidP="00C62BC1">
            <w:pPr>
              <w:spacing w:before="40" w:after="40"/>
              <w:ind w:right="880" w:firstLine="567"/>
              <w:jc w:val="right"/>
              <w:rPr>
                <w:rFonts w:ascii="Arial" w:hAnsi="Arial" w:cs="Arial"/>
                <w:sz w:val="20"/>
                <w:szCs w:val="20"/>
              </w:rPr>
            </w:pPr>
            <w:r w:rsidRPr="00C62BC1">
              <w:rPr>
                <w:rFonts w:ascii="Arial" w:hAnsi="Arial" w:cs="Arial"/>
                <w:sz w:val="20"/>
                <w:szCs w:val="20"/>
              </w:rPr>
              <w:t>23,8</w:t>
            </w:r>
          </w:p>
        </w:tc>
      </w:tr>
      <w:tr w:rsidR="00951742" w:rsidRPr="00C62BC1" w14:paraId="26AE303B" w14:textId="77777777" w:rsidTr="008E3EB5">
        <w:trPr>
          <w:jc w:val="center"/>
        </w:trPr>
        <w:tc>
          <w:tcPr>
            <w:tcW w:w="4395" w:type="dxa"/>
            <w:vAlign w:val="bottom"/>
          </w:tcPr>
          <w:p w14:paraId="607F177D" w14:textId="77777777" w:rsidR="007F367F" w:rsidRPr="00C62BC1" w:rsidRDefault="007F367F" w:rsidP="00C62BC1">
            <w:pPr>
              <w:spacing w:before="40" w:after="40"/>
              <w:jc w:val="both"/>
              <w:rPr>
                <w:rFonts w:ascii="Arial" w:hAnsi="Arial" w:cs="Arial"/>
                <w:sz w:val="20"/>
                <w:szCs w:val="20"/>
              </w:rPr>
            </w:pPr>
            <w:r w:rsidRPr="00C62BC1">
              <w:rPr>
                <w:rFonts w:ascii="Arial" w:hAnsi="Arial" w:cs="Arial"/>
                <w:sz w:val="20"/>
                <w:szCs w:val="20"/>
              </w:rPr>
              <w:t>Vải</w:t>
            </w:r>
          </w:p>
        </w:tc>
        <w:tc>
          <w:tcPr>
            <w:tcW w:w="1842" w:type="dxa"/>
            <w:vAlign w:val="bottom"/>
          </w:tcPr>
          <w:p w14:paraId="06B502AF" w14:textId="77777777" w:rsidR="007F367F" w:rsidRPr="00C62BC1" w:rsidRDefault="007F367F" w:rsidP="00C62BC1">
            <w:pPr>
              <w:spacing w:before="40" w:after="40"/>
              <w:ind w:right="319" w:firstLine="567"/>
              <w:jc w:val="right"/>
              <w:rPr>
                <w:rFonts w:ascii="Arial" w:hAnsi="Arial" w:cs="Arial"/>
                <w:sz w:val="20"/>
                <w:szCs w:val="20"/>
              </w:rPr>
            </w:pPr>
            <w:r w:rsidRPr="00C62BC1">
              <w:rPr>
                <w:rFonts w:ascii="Arial" w:hAnsi="Arial" w:cs="Arial"/>
                <w:sz w:val="20"/>
                <w:szCs w:val="20"/>
              </w:rPr>
              <w:t>13.763</w:t>
            </w:r>
          </w:p>
        </w:tc>
        <w:tc>
          <w:tcPr>
            <w:tcW w:w="2552" w:type="dxa"/>
            <w:vAlign w:val="bottom"/>
          </w:tcPr>
          <w:p w14:paraId="6934B91B" w14:textId="77777777" w:rsidR="007F367F" w:rsidRPr="00C62BC1" w:rsidRDefault="007F367F" w:rsidP="00C62BC1">
            <w:pPr>
              <w:spacing w:before="40" w:after="40"/>
              <w:ind w:right="880" w:firstLine="567"/>
              <w:jc w:val="right"/>
              <w:rPr>
                <w:rFonts w:ascii="Arial" w:hAnsi="Arial" w:cs="Arial"/>
                <w:sz w:val="20"/>
                <w:szCs w:val="20"/>
              </w:rPr>
            </w:pPr>
            <w:r w:rsidRPr="00C62BC1">
              <w:rPr>
                <w:rFonts w:ascii="Arial" w:hAnsi="Arial" w:cs="Arial"/>
                <w:sz w:val="20"/>
                <w:szCs w:val="20"/>
              </w:rPr>
              <w:t>1,3</w:t>
            </w:r>
          </w:p>
        </w:tc>
      </w:tr>
      <w:tr w:rsidR="00951742" w:rsidRPr="00C62BC1" w14:paraId="6DE3247D" w14:textId="77777777" w:rsidTr="008E3EB5">
        <w:trPr>
          <w:jc w:val="center"/>
        </w:trPr>
        <w:tc>
          <w:tcPr>
            <w:tcW w:w="4395" w:type="dxa"/>
            <w:vAlign w:val="bottom"/>
          </w:tcPr>
          <w:p w14:paraId="037CFEBC" w14:textId="77777777" w:rsidR="007F367F" w:rsidRPr="00C62BC1" w:rsidRDefault="007F367F" w:rsidP="00C62BC1">
            <w:pPr>
              <w:spacing w:before="40" w:after="40"/>
              <w:jc w:val="both"/>
              <w:rPr>
                <w:rFonts w:ascii="Arial" w:hAnsi="Arial" w:cs="Arial"/>
                <w:sz w:val="20"/>
                <w:szCs w:val="20"/>
              </w:rPr>
            </w:pPr>
            <w:r w:rsidRPr="00C62BC1">
              <w:rPr>
                <w:rFonts w:ascii="Arial" w:hAnsi="Arial" w:cs="Arial"/>
                <w:sz w:val="20"/>
                <w:szCs w:val="20"/>
              </w:rPr>
              <w:t xml:space="preserve">Chất dẻo </w:t>
            </w:r>
          </w:p>
        </w:tc>
        <w:tc>
          <w:tcPr>
            <w:tcW w:w="1842" w:type="dxa"/>
            <w:vAlign w:val="bottom"/>
          </w:tcPr>
          <w:p w14:paraId="6D4527B8" w14:textId="77777777" w:rsidR="007F367F" w:rsidRPr="00C62BC1" w:rsidRDefault="007F367F" w:rsidP="00C62BC1">
            <w:pPr>
              <w:spacing w:before="40" w:after="40"/>
              <w:ind w:right="319" w:firstLine="567"/>
              <w:jc w:val="right"/>
              <w:rPr>
                <w:rFonts w:ascii="Arial" w:hAnsi="Arial" w:cs="Arial"/>
                <w:sz w:val="20"/>
                <w:szCs w:val="20"/>
              </w:rPr>
            </w:pPr>
            <w:r w:rsidRPr="00C62BC1">
              <w:rPr>
                <w:rFonts w:ascii="Arial" w:hAnsi="Arial" w:cs="Arial"/>
                <w:sz w:val="20"/>
                <w:szCs w:val="20"/>
              </w:rPr>
              <w:t>11.385</w:t>
            </w:r>
          </w:p>
        </w:tc>
        <w:tc>
          <w:tcPr>
            <w:tcW w:w="2552" w:type="dxa"/>
            <w:vAlign w:val="bottom"/>
          </w:tcPr>
          <w:p w14:paraId="1111AB3E" w14:textId="77777777" w:rsidR="007F367F" w:rsidRPr="00C62BC1" w:rsidRDefault="007F367F" w:rsidP="00C62BC1">
            <w:pPr>
              <w:spacing w:before="40" w:after="40"/>
              <w:ind w:right="880" w:firstLine="567"/>
              <w:jc w:val="right"/>
              <w:rPr>
                <w:rFonts w:ascii="Arial" w:hAnsi="Arial" w:cs="Arial"/>
                <w:sz w:val="20"/>
                <w:szCs w:val="20"/>
              </w:rPr>
            </w:pPr>
            <w:r w:rsidRPr="00C62BC1">
              <w:rPr>
                <w:rFonts w:ascii="Arial" w:hAnsi="Arial" w:cs="Arial"/>
                <w:sz w:val="20"/>
                <w:szCs w:val="20"/>
              </w:rPr>
              <w:t>6,7</w:t>
            </w:r>
          </w:p>
        </w:tc>
      </w:tr>
      <w:tr w:rsidR="00951742" w:rsidRPr="00C62BC1" w14:paraId="4ACAF061" w14:textId="77777777" w:rsidTr="008E3EB5">
        <w:trPr>
          <w:jc w:val="center"/>
        </w:trPr>
        <w:tc>
          <w:tcPr>
            <w:tcW w:w="4395" w:type="dxa"/>
            <w:vAlign w:val="bottom"/>
          </w:tcPr>
          <w:p w14:paraId="3DFBCDBD" w14:textId="77777777" w:rsidR="007F367F" w:rsidRPr="00C62BC1" w:rsidRDefault="007F367F" w:rsidP="00C62BC1">
            <w:pPr>
              <w:spacing w:before="40" w:after="40"/>
              <w:jc w:val="both"/>
              <w:rPr>
                <w:rFonts w:ascii="Arial" w:hAnsi="Arial" w:cs="Arial"/>
                <w:sz w:val="20"/>
                <w:szCs w:val="20"/>
              </w:rPr>
            </w:pPr>
            <w:r w:rsidRPr="00C62BC1">
              <w:rPr>
                <w:rFonts w:ascii="Arial" w:hAnsi="Arial" w:cs="Arial"/>
                <w:sz w:val="20"/>
                <w:szCs w:val="20"/>
              </w:rPr>
              <w:t>Điện thoại các loại và linh kiện</w:t>
            </w:r>
          </w:p>
        </w:tc>
        <w:tc>
          <w:tcPr>
            <w:tcW w:w="1842" w:type="dxa"/>
            <w:vAlign w:val="bottom"/>
          </w:tcPr>
          <w:p w14:paraId="0010AF18" w14:textId="77777777" w:rsidR="007F367F" w:rsidRPr="00C62BC1" w:rsidRDefault="007F367F" w:rsidP="00C62BC1">
            <w:pPr>
              <w:spacing w:before="40" w:after="40"/>
              <w:ind w:right="319" w:firstLine="567"/>
              <w:jc w:val="right"/>
              <w:rPr>
                <w:rFonts w:ascii="Arial" w:hAnsi="Arial" w:cs="Arial"/>
                <w:sz w:val="20"/>
                <w:szCs w:val="20"/>
              </w:rPr>
            </w:pPr>
            <w:r w:rsidRPr="00C62BC1">
              <w:rPr>
                <w:rFonts w:ascii="Arial" w:hAnsi="Arial" w:cs="Arial"/>
                <w:sz w:val="20"/>
                <w:szCs w:val="20"/>
              </w:rPr>
              <w:t>10.256</w:t>
            </w:r>
          </w:p>
        </w:tc>
        <w:tc>
          <w:tcPr>
            <w:tcW w:w="2552" w:type="dxa"/>
            <w:vAlign w:val="bottom"/>
          </w:tcPr>
          <w:p w14:paraId="1B19E09F" w14:textId="77777777" w:rsidR="007F367F" w:rsidRPr="00C62BC1" w:rsidRDefault="007F367F" w:rsidP="00C62BC1">
            <w:pPr>
              <w:spacing w:before="40" w:after="40"/>
              <w:ind w:right="880" w:firstLine="567"/>
              <w:jc w:val="right"/>
              <w:rPr>
                <w:rFonts w:ascii="Arial" w:hAnsi="Arial" w:cs="Arial"/>
                <w:sz w:val="20"/>
                <w:szCs w:val="20"/>
              </w:rPr>
            </w:pPr>
            <w:r w:rsidRPr="00C62BC1">
              <w:rPr>
                <w:rFonts w:ascii="Arial" w:hAnsi="Arial" w:cs="Arial"/>
                <w:sz w:val="20"/>
                <w:szCs w:val="20"/>
              </w:rPr>
              <w:t>8,8</w:t>
            </w:r>
          </w:p>
        </w:tc>
      </w:tr>
      <w:tr w:rsidR="00951742" w:rsidRPr="00C62BC1" w14:paraId="120C4A6C" w14:textId="77777777" w:rsidTr="008E3EB5">
        <w:trPr>
          <w:jc w:val="center"/>
        </w:trPr>
        <w:tc>
          <w:tcPr>
            <w:tcW w:w="4395" w:type="dxa"/>
            <w:vAlign w:val="bottom"/>
          </w:tcPr>
          <w:p w14:paraId="66749EB0" w14:textId="77777777" w:rsidR="007F367F" w:rsidRPr="00C62BC1" w:rsidRDefault="007F367F" w:rsidP="00C62BC1">
            <w:pPr>
              <w:spacing w:before="40" w:after="40"/>
              <w:jc w:val="both"/>
              <w:rPr>
                <w:rFonts w:ascii="Arial" w:hAnsi="Arial" w:cs="Arial"/>
                <w:sz w:val="20"/>
                <w:szCs w:val="20"/>
              </w:rPr>
            </w:pPr>
            <w:r w:rsidRPr="00C62BC1">
              <w:rPr>
                <w:rFonts w:ascii="Arial" w:hAnsi="Arial" w:cs="Arial"/>
                <w:sz w:val="20"/>
                <w:szCs w:val="20"/>
              </w:rPr>
              <w:t>Kim loại thường khác</w:t>
            </w:r>
          </w:p>
        </w:tc>
        <w:tc>
          <w:tcPr>
            <w:tcW w:w="1842" w:type="dxa"/>
            <w:vAlign w:val="bottom"/>
          </w:tcPr>
          <w:p w14:paraId="22F8C3E5" w14:textId="77777777" w:rsidR="007F367F" w:rsidRPr="00C62BC1" w:rsidRDefault="007F367F" w:rsidP="00C62BC1">
            <w:pPr>
              <w:spacing w:before="40" w:after="40"/>
              <w:ind w:right="319" w:firstLine="567"/>
              <w:jc w:val="right"/>
              <w:rPr>
                <w:rFonts w:ascii="Arial" w:hAnsi="Arial" w:cs="Arial"/>
                <w:sz w:val="20"/>
                <w:szCs w:val="20"/>
              </w:rPr>
            </w:pPr>
            <w:r w:rsidRPr="00C62BC1">
              <w:rPr>
                <w:rFonts w:ascii="Arial" w:hAnsi="Arial" w:cs="Arial"/>
                <w:sz w:val="20"/>
                <w:szCs w:val="20"/>
              </w:rPr>
              <w:t>10.213</w:t>
            </w:r>
          </w:p>
        </w:tc>
        <w:tc>
          <w:tcPr>
            <w:tcW w:w="2552" w:type="dxa"/>
            <w:vAlign w:val="bottom"/>
          </w:tcPr>
          <w:p w14:paraId="3C7FE8A1" w14:textId="77777777" w:rsidR="007F367F" w:rsidRPr="00C62BC1" w:rsidRDefault="007F367F" w:rsidP="00C62BC1">
            <w:pPr>
              <w:spacing w:before="40" w:after="40"/>
              <w:ind w:right="880" w:firstLine="567"/>
              <w:jc w:val="right"/>
              <w:rPr>
                <w:rFonts w:ascii="Arial" w:hAnsi="Arial" w:cs="Arial"/>
                <w:sz w:val="20"/>
                <w:szCs w:val="20"/>
              </w:rPr>
            </w:pPr>
            <w:r w:rsidRPr="00C62BC1">
              <w:rPr>
                <w:rFonts w:ascii="Arial" w:hAnsi="Arial" w:cs="Arial"/>
                <w:sz w:val="20"/>
                <w:szCs w:val="20"/>
              </w:rPr>
              <w:t>17,9</w:t>
            </w:r>
          </w:p>
        </w:tc>
      </w:tr>
    </w:tbl>
    <w:p w14:paraId="7C8FD438" w14:textId="77777777" w:rsidR="007F367F" w:rsidRPr="00C62BC1" w:rsidRDefault="007F367F" w:rsidP="007F367F">
      <w:pPr>
        <w:tabs>
          <w:tab w:val="num" w:pos="0"/>
          <w:tab w:val="left" w:pos="9475"/>
        </w:tabs>
        <w:spacing w:before="40" w:after="40" w:line="288" w:lineRule="auto"/>
        <w:ind w:right="6" w:firstLine="567"/>
        <w:jc w:val="both"/>
        <w:rPr>
          <w:rFonts w:ascii="Arial" w:hAnsi="Arial" w:cs="Arial"/>
          <w:b/>
          <w:bCs/>
          <w:i/>
          <w:iCs/>
          <w:sz w:val="2"/>
          <w:szCs w:val="20"/>
        </w:rPr>
      </w:pPr>
      <w:r w:rsidRPr="00C62BC1">
        <w:rPr>
          <w:rFonts w:ascii="Arial" w:hAnsi="Arial" w:cs="Arial"/>
          <w:b/>
          <w:bCs/>
          <w:i/>
          <w:iCs/>
          <w:sz w:val="2"/>
          <w:szCs w:val="20"/>
        </w:rPr>
        <w:t xml:space="preserve"> </w:t>
      </w:r>
    </w:p>
    <w:p w14:paraId="6B63FCFF" w14:textId="5A08A49D" w:rsidR="007F367F" w:rsidRPr="00C62BC1" w:rsidRDefault="007F367F" w:rsidP="00C62BC1">
      <w:pPr>
        <w:tabs>
          <w:tab w:val="num" w:pos="0"/>
          <w:tab w:val="left" w:pos="9475"/>
        </w:tabs>
        <w:spacing w:before="40" w:after="40" w:line="264" w:lineRule="auto"/>
        <w:ind w:right="6"/>
        <w:jc w:val="both"/>
        <w:rPr>
          <w:rFonts w:asciiTheme="minorHAnsi" w:eastAsiaTheme="minorHAnsi" w:hAnsiTheme="minorHAnsi" w:cstheme="minorBidi"/>
          <w:spacing w:val="-2"/>
          <w:sz w:val="22"/>
          <w:szCs w:val="22"/>
        </w:rPr>
      </w:pPr>
      <w:r w:rsidRPr="00C62BC1">
        <w:rPr>
          <w:noProof/>
          <w:spacing w:val="-2"/>
        </w:rPr>
        <w:lastRenderedPageBreak/>
        <mc:AlternateContent>
          <mc:Choice Requires="wps">
            <w:drawing>
              <wp:anchor distT="0" distB="0" distL="114300" distR="114300" simplePos="0" relativeHeight="251667456" behindDoc="0" locked="0" layoutInCell="1" allowOverlap="1" wp14:anchorId="47D9879C" wp14:editId="0B01DE67">
                <wp:simplePos x="0" y="0"/>
                <wp:positionH relativeFrom="column">
                  <wp:posOffset>81280</wp:posOffset>
                </wp:positionH>
                <wp:positionV relativeFrom="paragraph">
                  <wp:posOffset>130175</wp:posOffset>
                </wp:positionV>
                <wp:extent cx="3591560" cy="2557145"/>
                <wp:effectExtent l="0" t="0" r="889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1560" cy="2557145"/>
                        </a:xfrm>
                        <a:prstGeom prst="rect">
                          <a:avLst/>
                        </a:prstGeom>
                        <a:solidFill>
                          <a:srgbClr val="FFFFFF"/>
                        </a:solidFill>
                        <a:ln w="9525">
                          <a:noFill/>
                          <a:miter lim="800000"/>
                          <a:headEnd/>
                          <a:tailEnd/>
                        </a:ln>
                      </wps:spPr>
                      <wps:txbx>
                        <w:txbxContent>
                          <w:p w14:paraId="4DEF5F49" w14:textId="0B9BD01D" w:rsidR="007F367F" w:rsidRPr="00FF25D5" w:rsidRDefault="007F367F" w:rsidP="007F367F">
                            <w:pPr>
                              <w:spacing w:after="120"/>
                              <w:ind w:left="-284" w:firstLine="142"/>
                              <w:jc w:val="center"/>
                              <w:rPr>
                                <w:rFonts w:asciiTheme="minorHAnsi" w:eastAsiaTheme="minorHAnsi" w:hAnsiTheme="minorHAnsi" w:cstheme="minorBidi"/>
                                <w:sz w:val="22"/>
                                <w:szCs w:val="22"/>
                              </w:rPr>
                            </w:pPr>
                            <w:r w:rsidRPr="006822A2">
                              <w:rPr>
                                <w:rFonts w:ascii="Arial" w:hAnsi="Arial" w:cs="Arial"/>
                                <w:b/>
                                <w:bCs/>
                                <w:sz w:val="24"/>
                                <w:szCs w:val="24"/>
                              </w:rPr>
                              <w:t xml:space="preserve">Hình </w:t>
                            </w:r>
                            <w:r w:rsidR="00594B17">
                              <w:rPr>
                                <w:rFonts w:ascii="Arial" w:hAnsi="Arial" w:cs="Arial"/>
                                <w:b/>
                                <w:bCs/>
                                <w:sz w:val="24"/>
                                <w:szCs w:val="24"/>
                              </w:rPr>
                              <w:t>13</w:t>
                            </w:r>
                            <w:r w:rsidRPr="006822A2">
                              <w:rPr>
                                <w:rFonts w:ascii="Arial" w:hAnsi="Arial" w:cs="Arial"/>
                                <w:b/>
                                <w:bCs/>
                                <w:sz w:val="24"/>
                                <w:szCs w:val="24"/>
                              </w:rPr>
                              <w:t>. Cơ cấu nhóm hàng nhập khẩu</w:t>
                            </w:r>
                            <w:r w:rsidRPr="006822A2">
                              <w:rPr>
                                <w:rFonts w:ascii="Arial" w:hAnsi="Arial" w:cs="Arial"/>
                                <w:b/>
                                <w:bCs/>
                                <w:sz w:val="24"/>
                                <w:szCs w:val="24"/>
                              </w:rPr>
                              <w:br/>
                            </w:r>
                            <w:r>
                              <w:rPr>
                                <w:rFonts w:ascii="Arial" w:hAnsi="Arial" w:cs="Arial"/>
                                <w:b/>
                                <w:bCs/>
                                <w:sz w:val="24"/>
                                <w:szCs w:val="24"/>
                              </w:rPr>
                              <w:t xml:space="preserve">11 tháng </w:t>
                            </w:r>
                            <w:r w:rsidRPr="006822A2">
                              <w:rPr>
                                <w:rFonts w:ascii="Arial" w:hAnsi="Arial" w:cs="Arial"/>
                                <w:b/>
                                <w:bCs/>
                                <w:sz w:val="24"/>
                                <w:szCs w:val="24"/>
                              </w:rPr>
                              <w:t>năm 2025</w:t>
                            </w:r>
                          </w:p>
                          <w:p w14:paraId="732759CB" w14:textId="77777777" w:rsidR="007F367F" w:rsidRPr="00F66505" w:rsidRDefault="007F367F" w:rsidP="00C62BC1">
                            <w:pPr>
                              <w:ind w:left="-284"/>
                              <w:jc w:val="center"/>
                              <w:rPr>
                                <w:rFonts w:ascii="Arial" w:hAnsi="Arial" w:cs="Arial"/>
                                <w:b/>
                                <w:bCs/>
                                <w:sz w:val="14"/>
                                <w:szCs w:val="24"/>
                              </w:rPr>
                            </w:pPr>
                            <w:r w:rsidRPr="00933924">
                              <w:rPr>
                                <w:noProof/>
                              </w:rPr>
                              <w:drawing>
                                <wp:inline distT="0" distB="0" distL="0" distR="0" wp14:anchorId="4919DFF5" wp14:editId="1AD18129">
                                  <wp:extent cx="2994973" cy="1985275"/>
                                  <wp:effectExtent l="0" t="0" r="0" b="0"/>
                                  <wp:docPr id="15286318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8981" cy="20011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9879C" id="_x0000_s1027" type="#_x0000_t202" style="position:absolute;left:0;text-align:left;margin-left:6.4pt;margin-top:10.25pt;width:282.8pt;height:20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3GEAIAAP4DAAAOAAAAZHJzL2Uyb0RvYy54bWysU9uO2yAQfa/Uf0C8N47TeHdjxVlts01V&#10;aXuRtv0ADDhGxQwFEjv9+h2wN5u2b1V5QAwznJk5c1jfDp0mR+m8AlPRfDanRBoOQpl9Rb9/2725&#10;ocQHZgTTYGRFT9LT283rV+velnIBLWghHUEQ48veVrQNwZZZ5nkrO+ZnYKVBZwOuYwFNt8+EYz2i&#10;dzpbzOdXWQ9OWAdceo+396OTbhJ+00gevjSNl4HoimJtIe0u7XXcs82alXvHbKv4VAb7hyo6pgwm&#10;PUPds8DIwam/oDrFHXhowoxDl0HTKC5TD9hNPv+jm8eWWZl6QXK8PdPk/x8s/3x8tF8dCcM7GHCA&#10;qQlvH4D/8MTAtmVmL++cg76VTGDiPFKW9daX09NItS99BKn7TyBwyOwQIAENjesiK9gnQXQcwOlM&#10;uhwC4Xj5tljlxRW6OPoWRXGdL4uUg5XPz63z4YOEjsRDRR1ONcGz44MPsRxWPofEbB60EjuldTLc&#10;vt5qR44MFbBLa0L/LUwb0ld0VSyKhGwgvk/i6FRAhWrVVfRmHteomUjHeyNSSGBKj2esRJuJn0jJ&#10;SE4Y6oEoMZEX6apBnJAwB6Mg8QPhoQX3i5IexVhR//PAnKREfzRI+ipfLqN6k7EsrhdouEtPfelh&#10;hiNURQMl43EbkuIjHQbucDiNSrS9VDKVjCJLbE4fIqr40k5RL9928wQAAP//AwBQSwMEFAAGAAgA&#10;AAAhALaN3bbdAAAACQEAAA8AAABkcnMvZG93bnJldi54bWxMj8FOwzAQRO9I/IO1SFwQdTBJU0Kc&#10;CpBAXFv6AU68TSLidRS7Tfr3LCc4jmY086bcLm4QZ5xC70nDwyoBgdR421Or4fD1fr8BEaIhawZP&#10;qOGCAbbV9VVpCutn2uF5H1vBJRQKo6GLcSykDE2HzoSVH5HYO/rJmchyaqWdzMzlbpAqSdbSmZ54&#10;oTMjvnXYfO9PTsPxc77Lnub6Ix7yXbp+NX1e+4vWtzfLyzOIiEv8C8MvPqNDxUy1P5ENYmCtmDxq&#10;UEkGgv0s36Qgag2pelQgq1L+f1D9AAAA//8DAFBLAQItABQABgAIAAAAIQC2gziS/gAAAOEBAAAT&#10;AAAAAAAAAAAAAAAAAAAAAABbQ29udGVudF9UeXBlc10ueG1sUEsBAi0AFAAGAAgAAAAhADj9If/W&#10;AAAAlAEAAAsAAAAAAAAAAAAAAAAALwEAAF9yZWxzLy5yZWxzUEsBAi0AFAAGAAgAAAAhAMa2/cYQ&#10;AgAA/gMAAA4AAAAAAAAAAAAAAAAALgIAAGRycy9lMm9Eb2MueG1sUEsBAi0AFAAGAAgAAAAhALaN&#10;3bbdAAAACQEAAA8AAAAAAAAAAAAAAAAAagQAAGRycy9kb3ducmV2LnhtbFBLBQYAAAAABAAEAPMA&#10;AAB0BQAAAAA=&#10;" stroked="f">
                <v:textbox>
                  <w:txbxContent>
                    <w:p w14:paraId="4DEF5F49" w14:textId="0B9BD01D" w:rsidR="007F367F" w:rsidRPr="00FF25D5" w:rsidRDefault="007F367F" w:rsidP="007F367F">
                      <w:pPr>
                        <w:spacing w:after="120"/>
                        <w:ind w:left="-284" w:firstLine="142"/>
                        <w:jc w:val="center"/>
                        <w:rPr>
                          <w:rFonts w:asciiTheme="minorHAnsi" w:eastAsiaTheme="minorHAnsi" w:hAnsiTheme="minorHAnsi" w:cstheme="minorBidi"/>
                          <w:sz w:val="22"/>
                          <w:szCs w:val="22"/>
                        </w:rPr>
                      </w:pPr>
                      <w:r w:rsidRPr="006822A2">
                        <w:rPr>
                          <w:rFonts w:ascii="Arial" w:hAnsi="Arial" w:cs="Arial"/>
                          <w:b/>
                          <w:bCs/>
                          <w:sz w:val="24"/>
                          <w:szCs w:val="24"/>
                        </w:rPr>
                        <w:t xml:space="preserve">Hình </w:t>
                      </w:r>
                      <w:r w:rsidR="00594B17">
                        <w:rPr>
                          <w:rFonts w:ascii="Arial" w:hAnsi="Arial" w:cs="Arial"/>
                          <w:b/>
                          <w:bCs/>
                          <w:sz w:val="24"/>
                          <w:szCs w:val="24"/>
                        </w:rPr>
                        <w:t>13</w:t>
                      </w:r>
                      <w:r w:rsidRPr="006822A2">
                        <w:rPr>
                          <w:rFonts w:ascii="Arial" w:hAnsi="Arial" w:cs="Arial"/>
                          <w:b/>
                          <w:bCs/>
                          <w:sz w:val="24"/>
                          <w:szCs w:val="24"/>
                        </w:rPr>
                        <w:t>. Cơ cấu nhóm hàng nhập khẩu</w:t>
                      </w:r>
                      <w:r w:rsidRPr="006822A2">
                        <w:rPr>
                          <w:rFonts w:ascii="Arial" w:hAnsi="Arial" w:cs="Arial"/>
                          <w:b/>
                          <w:bCs/>
                          <w:sz w:val="24"/>
                          <w:szCs w:val="24"/>
                        </w:rPr>
                        <w:br/>
                      </w:r>
                      <w:r>
                        <w:rPr>
                          <w:rFonts w:ascii="Arial" w:hAnsi="Arial" w:cs="Arial"/>
                          <w:b/>
                          <w:bCs/>
                          <w:sz w:val="24"/>
                          <w:szCs w:val="24"/>
                        </w:rPr>
                        <w:t xml:space="preserve">11 tháng </w:t>
                      </w:r>
                      <w:r w:rsidRPr="006822A2">
                        <w:rPr>
                          <w:rFonts w:ascii="Arial" w:hAnsi="Arial" w:cs="Arial"/>
                          <w:b/>
                          <w:bCs/>
                          <w:sz w:val="24"/>
                          <w:szCs w:val="24"/>
                        </w:rPr>
                        <w:t>năm 2025</w:t>
                      </w:r>
                    </w:p>
                    <w:p w14:paraId="732759CB" w14:textId="77777777" w:rsidR="007F367F" w:rsidRPr="00F66505" w:rsidRDefault="007F367F" w:rsidP="00C62BC1">
                      <w:pPr>
                        <w:ind w:left="-284"/>
                        <w:jc w:val="center"/>
                        <w:rPr>
                          <w:rFonts w:ascii="Arial" w:hAnsi="Arial" w:cs="Arial"/>
                          <w:b/>
                          <w:bCs/>
                          <w:sz w:val="14"/>
                          <w:szCs w:val="24"/>
                        </w:rPr>
                      </w:pPr>
                      <w:r w:rsidRPr="00933924">
                        <w:rPr>
                          <w:noProof/>
                        </w:rPr>
                        <w:drawing>
                          <wp:inline distT="0" distB="0" distL="0" distR="0" wp14:anchorId="4919DFF5" wp14:editId="1AD18129">
                            <wp:extent cx="2994973" cy="1985275"/>
                            <wp:effectExtent l="0" t="0" r="0" b="0"/>
                            <wp:docPr id="15286318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8981" cy="2001189"/>
                                    </a:xfrm>
                                    <a:prstGeom prst="rect">
                                      <a:avLst/>
                                    </a:prstGeom>
                                    <a:noFill/>
                                    <a:ln>
                                      <a:noFill/>
                                    </a:ln>
                                  </pic:spPr>
                                </pic:pic>
                              </a:graphicData>
                            </a:graphic>
                          </wp:inline>
                        </w:drawing>
                      </w:r>
                    </w:p>
                  </w:txbxContent>
                </v:textbox>
                <w10:wrap type="square"/>
              </v:shape>
            </w:pict>
          </mc:Fallback>
        </mc:AlternateContent>
      </w:r>
      <w:r w:rsidRPr="00C62BC1">
        <w:rPr>
          <w:rFonts w:eastAsia="Batang"/>
          <w:i/>
          <w:iCs/>
          <w:spacing w:val="-2"/>
        </w:rPr>
        <w:t xml:space="preserve">Về cơ cấu nhóm hàng nhập khẩu mười một tháng năm 2025, </w:t>
      </w:r>
      <w:r w:rsidRPr="00C62BC1">
        <w:rPr>
          <w:rFonts w:eastAsia="Batang"/>
          <w:spacing w:val="-2"/>
        </w:rPr>
        <w:t>nhóm hàng tư liệu sản xuất đạt 383,96 tỷ USD, chiếm 93,7%, trong đó nhóm hàng máy móc thiết bị, dụng cụ phụ tùng chiếm 52,7%; nhóm hàng nguyên, nhiên, vật liệu chiếm 41,0%. Nhóm hàng vật phẩm tiêu dùng đạt 25,65 tỷ USD, chiếm 6,3</w:t>
      </w:r>
      <w:r w:rsidRPr="00C62BC1">
        <w:rPr>
          <w:rFonts w:eastAsia="Batang"/>
          <w:bCs/>
          <w:spacing w:val="-2"/>
        </w:rPr>
        <w:t>%.</w:t>
      </w:r>
      <w:r w:rsidRPr="00C62BC1">
        <w:rPr>
          <w:rFonts w:asciiTheme="minorHAnsi" w:eastAsiaTheme="minorHAnsi" w:hAnsiTheme="minorHAnsi" w:cstheme="minorBidi"/>
          <w:spacing w:val="-2"/>
          <w:sz w:val="22"/>
          <w:szCs w:val="22"/>
        </w:rPr>
        <w:t xml:space="preserve"> </w:t>
      </w:r>
    </w:p>
    <w:p w14:paraId="016704DA" w14:textId="77777777" w:rsidR="00363493" w:rsidRPr="00C62BC1" w:rsidRDefault="00363493" w:rsidP="00C62BC1">
      <w:pPr>
        <w:spacing w:after="120" w:line="264" w:lineRule="auto"/>
        <w:ind w:firstLine="720"/>
        <w:jc w:val="both"/>
        <w:rPr>
          <w:iCs/>
        </w:rPr>
      </w:pPr>
      <w:r w:rsidRPr="00C62BC1">
        <w:rPr>
          <w:iCs/>
        </w:rPr>
        <w:t xml:space="preserve">Về thị trường xuất, nhập khẩu hàng hóa mười một tháng năm 2025, Hoa Kỳ là thị trường xuất khẩu lớn nhất của Việt Nam với kim ngạch đạt 138,6 tỷ USD. Trung Quốc là thị trường nhập khẩu lớn nhất của Việt Nam với kim ngạch đạt 167,5 tỷ USD. Trong mười một tháng năm 2025, xuất siêu sang Hoa Kỳ đạt 121,6 tỷ USD tăng 27,5% so với cùng kỳ năm trước; xuất siêu sang EU 35,6 tỷ USD, tăng 10,4%; xuất siêu sang Nhật Bản 2,0 tỷ USD, giảm 29,7%; nhập siêu từ Trung Quốc 104,3 tỷ USD, tăng 38,1%; nhập siêu từ Hàn Quốc 28,3 tỷ USD, tăng 1,9%; nhập siêu từ ASEAN 12,4 tỷ USD, tăng 46,3%. </w:t>
      </w:r>
    </w:p>
    <w:p w14:paraId="635E7AAF" w14:textId="3B7541DE" w:rsidR="00363493" w:rsidRPr="00C62BC1" w:rsidRDefault="00363493" w:rsidP="00363493">
      <w:pPr>
        <w:tabs>
          <w:tab w:val="num" w:pos="0"/>
          <w:tab w:val="left" w:pos="9475"/>
        </w:tabs>
        <w:spacing w:before="40" w:after="40" w:line="288" w:lineRule="auto"/>
        <w:ind w:right="6" w:firstLine="567"/>
        <w:jc w:val="both"/>
        <w:rPr>
          <w:rFonts w:asciiTheme="minorHAnsi" w:eastAsiaTheme="minorHAnsi" w:hAnsiTheme="minorHAnsi" w:cstheme="minorBidi"/>
          <w:sz w:val="22"/>
          <w:szCs w:val="22"/>
        </w:rPr>
      </w:pPr>
      <w:r w:rsidRPr="00C62BC1">
        <w:rPr>
          <w:rFonts w:ascii="Arial" w:hAnsi="Arial" w:cs="Arial"/>
          <w:b/>
          <w:iCs/>
          <w:spacing w:val="-2"/>
          <w:sz w:val="24"/>
        </w:rPr>
        <w:t>Hình 14. Thị trường xuất, nhập khẩu hàng hoá chủ yếu 11 tháng năm 2025</w:t>
      </w: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951742" w:rsidRPr="00C62BC1" w14:paraId="59BB6C52" w14:textId="77777777" w:rsidTr="00BF1737">
        <w:trPr>
          <w:trHeight w:val="3151"/>
          <w:jc w:val="center"/>
        </w:trPr>
        <w:tc>
          <w:tcPr>
            <w:tcW w:w="4675" w:type="dxa"/>
            <w:gridSpan w:val="3"/>
          </w:tcPr>
          <w:p w14:paraId="3A956DA8" w14:textId="77777777" w:rsidR="00363493" w:rsidRPr="00C62BC1" w:rsidRDefault="00363493" w:rsidP="00BF1737">
            <w:pPr>
              <w:tabs>
                <w:tab w:val="num" w:pos="0"/>
                <w:tab w:val="left" w:pos="9475"/>
              </w:tabs>
              <w:spacing w:before="40" w:after="40" w:line="288" w:lineRule="auto"/>
              <w:ind w:right="-118" w:firstLine="36"/>
              <w:jc w:val="both"/>
              <w:rPr>
                <w:iCs/>
                <w:lang w:val="en-US"/>
              </w:rPr>
            </w:pPr>
            <w:r w:rsidRPr="00C62BC1">
              <w:rPr>
                <w:noProof/>
              </w:rPr>
              <w:drawing>
                <wp:inline distT="0" distB="0" distL="0" distR="0" wp14:anchorId="6AC7A5BA" wp14:editId="0AB097EB">
                  <wp:extent cx="2973070" cy="1941776"/>
                  <wp:effectExtent l="0" t="0" r="17780" b="1905"/>
                  <wp:docPr id="1149757315" name="Chart 1">
                    <a:extLst xmlns:a="http://schemas.openxmlformats.org/drawingml/2006/main">
                      <a:ext uri="{FF2B5EF4-FFF2-40B4-BE49-F238E27FC236}">
                        <a16:creationId xmlns:a16="http://schemas.microsoft.com/office/drawing/2014/main"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818" w:type="dxa"/>
            <w:gridSpan w:val="3"/>
          </w:tcPr>
          <w:p w14:paraId="119C96F5" w14:textId="77777777" w:rsidR="00363493" w:rsidRPr="00C62BC1" w:rsidRDefault="00363493" w:rsidP="00BF1737">
            <w:pPr>
              <w:tabs>
                <w:tab w:val="num" w:pos="0"/>
                <w:tab w:val="left" w:pos="9475"/>
              </w:tabs>
              <w:spacing w:before="40" w:after="40" w:line="288" w:lineRule="auto"/>
              <w:ind w:right="6" w:firstLine="41"/>
              <w:jc w:val="both"/>
              <w:rPr>
                <w:iCs/>
                <w:lang w:val="en-US"/>
              </w:rPr>
            </w:pPr>
            <w:r w:rsidRPr="00C62BC1">
              <w:rPr>
                <w:noProof/>
              </w:rPr>
              <w:drawing>
                <wp:inline distT="0" distB="0" distL="0" distR="0" wp14:anchorId="5E2B2AA5" wp14:editId="0FDFD846">
                  <wp:extent cx="2922270" cy="1973551"/>
                  <wp:effectExtent l="0" t="0" r="11430" b="8255"/>
                  <wp:docPr id="1724322460" name="Chart 1">
                    <a:extLst xmlns:a="http://schemas.openxmlformats.org/drawingml/2006/main">
                      <a:ext uri="{FF2B5EF4-FFF2-40B4-BE49-F238E27FC236}">
                        <a16:creationId xmlns:a16="http://schemas.microsoft.com/office/drawing/2014/main"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951742" w:rsidRPr="00C62BC1" w14:paraId="779E0A33" w14:textId="77777777" w:rsidTr="008E3EB5">
        <w:trPr>
          <w:gridAfter w:val="1"/>
          <w:wAfter w:w="532" w:type="dxa"/>
          <w:trHeight w:val="42"/>
          <w:jc w:val="center"/>
        </w:trPr>
        <w:tc>
          <w:tcPr>
            <w:tcW w:w="1791" w:type="dxa"/>
          </w:tcPr>
          <w:p w14:paraId="2B7B7CFA" w14:textId="77777777" w:rsidR="00363493" w:rsidRPr="00C62BC1" w:rsidRDefault="00363493" w:rsidP="00BF1737">
            <w:pPr>
              <w:spacing w:before="40" w:after="40" w:line="288" w:lineRule="auto"/>
              <w:ind w:firstLine="567"/>
              <w:jc w:val="both"/>
              <w:rPr>
                <w:b/>
                <w:bCs/>
                <w:i/>
                <w:iCs/>
                <w:lang w:val="en-US"/>
              </w:rPr>
            </w:pPr>
          </w:p>
        </w:tc>
        <w:tc>
          <w:tcPr>
            <w:tcW w:w="619" w:type="dxa"/>
          </w:tcPr>
          <w:p w14:paraId="3B764AD4" w14:textId="77777777" w:rsidR="00363493" w:rsidRPr="00C62BC1" w:rsidRDefault="00363493" w:rsidP="00BF1737">
            <w:pPr>
              <w:spacing w:before="40" w:after="40" w:line="288" w:lineRule="auto"/>
              <w:ind w:firstLine="567"/>
              <w:jc w:val="both"/>
              <w:rPr>
                <w:b/>
                <w:bCs/>
                <w:i/>
                <w:iCs/>
                <w:lang w:val="en-US"/>
              </w:rPr>
            </w:pPr>
          </w:p>
        </w:tc>
        <w:tc>
          <w:tcPr>
            <w:tcW w:w="2265" w:type="dxa"/>
          </w:tcPr>
          <w:p w14:paraId="44216FD9" w14:textId="77777777" w:rsidR="00363493" w:rsidRPr="00C62BC1" w:rsidRDefault="00363493" w:rsidP="00BF1737">
            <w:pPr>
              <w:spacing w:before="40" w:after="40" w:line="288" w:lineRule="auto"/>
              <w:ind w:firstLine="567"/>
              <w:jc w:val="both"/>
              <w:rPr>
                <w:b/>
                <w:bCs/>
                <w:i/>
                <w:iCs/>
                <w:lang w:val="en-US"/>
              </w:rPr>
            </w:pPr>
            <w:r w:rsidRPr="00C62BC1">
              <w:rPr>
                <w:noProof/>
              </w:rPr>
              <mc:AlternateContent>
                <mc:Choice Requires="wps">
                  <w:drawing>
                    <wp:anchor distT="0" distB="0" distL="114300" distR="114300" simplePos="0" relativeHeight="251669504" behindDoc="0" locked="0" layoutInCell="1" allowOverlap="1" wp14:anchorId="30DF3BF1" wp14:editId="7F0B47E4">
                      <wp:simplePos x="0" y="0"/>
                      <wp:positionH relativeFrom="column">
                        <wp:posOffset>98425</wp:posOffset>
                      </wp:positionH>
                      <wp:positionV relativeFrom="paragraph">
                        <wp:posOffset>36195</wp:posOffset>
                      </wp:positionV>
                      <wp:extent cx="125730" cy="90170"/>
                      <wp:effectExtent l="0" t="0" r="7620" b="5080"/>
                      <wp:wrapNone/>
                      <wp:docPr id="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D6C68" id="Rectangle 28" o:spid="_x0000_s1026" style="position:absolute;margin-left:7.75pt;margin-top:2.85pt;width:9.9pt;height: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WtgWgIAALkEAAAOAAAAZHJzL2Uyb0RvYy54bWysVMFu2zAMvQ/YPwi6r3aydmmNOkXWosOA&#10;oC3QFj0zshQbk0RNUuJ0Xz9KdtKg22lYDgIp0uTj02Mur3ZGs630oUNb88lJyZm0ApvOrmv+/HT7&#10;6ZyzEME2oNHKmr/KwK/mHz9c9q6SU2xRN9IzKmJD1buatzG6qiiCaKWBcIJOWgoq9AYiuX5dNB56&#10;qm50MS3LL0WPvnEehQyBbm+GIJ/n+kpJEe+VCjIyXXPCFvPp87lKZzG/hGrtwbWdGGHAP6Aw0Flq&#10;eih1AxHYxnd/lDKd8BhQxROBpkClOiHzDDTNpHw3zWMLTuZZiJzgDjSF/1dW3G0f3YNP0INbovgR&#10;iJGid6E6RJITxpyd8iblEnC2yyy+HliUu8gEXU6mZ7PPxLWg0EU5mWWSC6j23zof4jeJhiWj5p7e&#10;KFMH22WIqTtU+5QMC3XX3HZaZ8evV9fasy2k9yy/lmf76uE4TVvWJyCzMuEA0pXSEMk0rql5sGvO&#10;QK9JsCL63Nti6pDFkHrfQGiHHrnsoBLTRZKq7kzNz8v0S9cEVtuETGaxjRO8UZasFTavD555HNQX&#10;nLjtqMkSQnwAT3IjkLRC8Z4OpZGQ42hx1qL/9bf7lE8qoChnPcmXpvq5AS85098t6eNicnqa9J6d&#10;07PZlBx/HFkdR+zGXCMxOqFldSKbKT/qvak8mhfatEXqSiGwgnoP/I3OdRzWinZVyMUip5HGHcSl&#10;fXQiFU88JXqfdi/g3fj+kXRzh3upQ/VOBkNu+tLiYhNRdVkjb7yOcqX9yK8x7nJawGM/Z73948x/&#10;AwAA//8DAFBLAwQUAAYACAAAACEArle0I9sAAAAGAQAADwAAAGRycy9kb3ducmV2LnhtbEyOTU7D&#10;MBCF90jcwRokdtShIZCGOBUFseiiUhs4gBsPSUQ8jmy3SW/PsILl+9F7X7me7SDO6EPvSMH9IgGB&#10;1DjTU6vg8+P9LgcRoiajB0eo4IIB1tX1VakL4yY64LmOreARCoVW0MU4FlKGpkOrw8KNSJx9OW91&#10;ZOlbabyeeNwOcpkkj9Lqnvih0yO+dth81yerYJn37cZPm4c97qbDNn+7pNt9rdTtzfzyDCLiHP/K&#10;8IvP6FAx09GdyAQxsM4ybirInkBwnGYpiCPbqxXIqpT/8asfAAAA//8DAFBLAQItABQABgAIAAAA&#10;IQC2gziS/gAAAOEBAAATAAAAAAAAAAAAAAAAAAAAAABbQ29udGVudF9UeXBlc10ueG1sUEsBAi0A&#10;FAAGAAgAAAAhADj9If/WAAAAlAEAAAsAAAAAAAAAAAAAAAAALwEAAF9yZWxzLy5yZWxzUEsBAi0A&#10;FAAGAAgAAAAhABcxa2BaAgAAuQQAAA4AAAAAAAAAAAAAAAAALgIAAGRycy9lMm9Eb2MueG1sUEsB&#10;Ai0AFAAGAAgAAAAhAK5XtCPbAAAABgEAAA8AAAAAAAAAAAAAAAAAtAQAAGRycy9kb3ducmV2Lnht&#10;bFBLBQYAAAAABAAEAPMAAAC8BQAAAAA=&#10;" fillcolor="#00b050" stroked="f" strokeweight="1pt"/>
                  </w:pict>
                </mc:Fallback>
              </mc:AlternateContent>
            </w:r>
            <w:r w:rsidRPr="00C62BC1">
              <w:rPr>
                <w:rFonts w:ascii="Arial" w:hAnsi="Arial" w:cs="Arial"/>
                <w:iCs/>
                <w:sz w:val="16"/>
                <w:szCs w:val="16"/>
              </w:rPr>
              <w:t xml:space="preserve"> Xuất khẩu </w:t>
            </w:r>
            <w:r w:rsidRPr="00C62BC1">
              <w:rPr>
                <w:rFonts w:ascii="Arial" w:hAnsi="Arial" w:cs="Arial"/>
                <w:iCs/>
                <w:noProof/>
                <w:sz w:val="16"/>
                <w:szCs w:val="16"/>
              </w:rPr>
              <w:t>h</w:t>
            </w:r>
            <w:r w:rsidRPr="00C62BC1">
              <w:rPr>
                <w:rFonts w:ascii="Arial" w:hAnsi="Arial" w:cs="Arial"/>
                <w:iCs/>
                <w:sz w:val="16"/>
                <w:szCs w:val="16"/>
              </w:rPr>
              <w:t>àng hóa</w:t>
            </w:r>
          </w:p>
        </w:tc>
        <w:tc>
          <w:tcPr>
            <w:tcW w:w="2838" w:type="dxa"/>
          </w:tcPr>
          <w:p w14:paraId="51CCA096" w14:textId="77777777" w:rsidR="00363493" w:rsidRPr="00C62BC1" w:rsidRDefault="00363493" w:rsidP="00BF1737">
            <w:pPr>
              <w:spacing w:before="40" w:after="40" w:line="288" w:lineRule="auto"/>
              <w:ind w:firstLine="567"/>
              <w:jc w:val="both"/>
              <w:rPr>
                <w:b/>
                <w:bCs/>
                <w:i/>
                <w:iCs/>
                <w:lang w:val="en-US"/>
              </w:rPr>
            </w:pPr>
            <w:r w:rsidRPr="00C62BC1">
              <w:rPr>
                <w:noProof/>
              </w:rPr>
              <mc:AlternateContent>
                <mc:Choice Requires="wps">
                  <w:drawing>
                    <wp:anchor distT="0" distB="0" distL="114300" distR="114300" simplePos="0" relativeHeight="251670528" behindDoc="0" locked="0" layoutInCell="1" allowOverlap="1" wp14:anchorId="6ED1F0A2" wp14:editId="07096BF8">
                      <wp:simplePos x="0" y="0"/>
                      <wp:positionH relativeFrom="column">
                        <wp:posOffset>414655</wp:posOffset>
                      </wp:positionH>
                      <wp:positionV relativeFrom="paragraph">
                        <wp:posOffset>36195</wp:posOffset>
                      </wp:positionV>
                      <wp:extent cx="125730" cy="90170"/>
                      <wp:effectExtent l="0" t="0" r="26670" b="2413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7030A0"/>
                              </a:solidFill>
                              <a:ln w="6350" cap="flat" cmpd="sng" algn="ctr">
                                <a:solidFill>
                                  <a:srgbClr val="E7E6E6">
                                    <a:lumMod val="2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3A740" id="Rectangle 29" o:spid="_x0000_s1026" style="position:absolute;margin-left:32.65pt;margin-top:2.85pt;width:9.9pt;height: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SrOdAIAAAMFAAAOAAAAZHJzL2Uyb0RvYy54bWysVE1v2zAMvQ/YfxB0X+2kTdIadYqgH8OA&#10;rC3QDjszshwbk0RNUuJ0v36U7KRpt9Owi0Ca1CP59OjLq51WbCudb9GUfHSScyaNwKo165J/e777&#10;dM6ZD2AqUGhkyV+k51fzjx8uO1vIMTaoKukYgRhfdLbkTQi2yDIvGqnBn6CVhoI1Og2BXLfOKgcd&#10;oWuVjfN8mnXoKutQSO/p600f5POEX9dShIe69jIwVXLqLaTTpXMVz2x+CcXagW1aMbQB/9CFhtZQ&#10;0QPUDQRgG9f+AaVb4dBjHU4E6gzruhUyzUDTjPJ30zw1YGWahcjx9kCT/3+w4n77ZB9dbN3bJYof&#10;nhjJOuuLQyQ6fsjZ1U7HXGqc7RKLLwcW5S4wQR9H48nslLgWFLrIR7NEcgbF/q51PnyWqFk0Su7o&#10;jRJ1sF36EKtDsU9JbaFqq7tWqeS49epaObYFes9Zfpov9uj+OE0Z1pV8ejqJbQDJqlYQyNS2Krk3&#10;a85ArUmvIrhU+s1lf1zjdnY7vZ2mJLXRX7HqS48neX6o3Oenxt8AxSluwDf9lRTq9abbQKJXrS75&#10;OeEckJSJM8ok24GLV/KjtcLq5dExh72OvRV3LRVZgg+P4Ei4NC8tY3igo1ZIHOBgcdag+/W37zGf&#10;9ERRzjpaBCLo5wac5Ex9MaS0i9HZWdyc5JxNZmNy3HFkdRwxG32N9DYjWnsrkhnzg9qbtUP9nXZ2&#10;EatSCIyg2v1TDM516BeUtl7IxSKl0bZYCEvzZEUEjzxFep9338HZQUmBFHiP+6WB4p2g+tx40+Bi&#10;E7Buk9peeR2ET5uW3nL4K8RVPvZT1uu/a/4bAAD//wMAUEsDBBQABgAIAAAAIQD0Tt/X2gAAAAYB&#10;AAAPAAAAZHJzL2Rvd25yZXYueG1sTI7BToNAFEX3Jv7D5DVxZwc0IFCGxjZxpTER/YCBeQVS5g1h&#10;hhb/3udKlzf35N5T7lc7igvOfnCkIN5GIJBaZwbqFHx9vtxnIHzQZPToCBV8o4d9dXtT6sK4K33g&#10;pQ6d4BHyhVbQhzAVUvq2R6v91k1I3J3cbHXgOHfSzPrK43aUD1GUSqsH4odeT3jssT3Xi1VwrNv4&#10;LV3e8XzKzCH3U3N4dY1Sd5v1eQci4Br+YPjVZ3Wo2KlxCxkvRgVp8sikguQJBNdZEoNoGMtzkFUp&#10;/+tXPwAAAP//AwBQSwECLQAUAAYACAAAACEAtoM4kv4AAADhAQAAEwAAAAAAAAAAAAAAAAAAAAAA&#10;W0NvbnRlbnRfVHlwZXNdLnhtbFBLAQItABQABgAIAAAAIQA4/SH/1gAAAJQBAAALAAAAAAAAAAAA&#10;AAAAAC8BAABfcmVscy8ucmVsc1BLAQItABQABgAIAAAAIQCxhSrOdAIAAAMFAAAOAAAAAAAAAAAA&#10;AAAAAC4CAABkcnMvZTJvRG9jLnhtbFBLAQItABQABgAIAAAAIQD0Tt/X2gAAAAYBAAAPAAAAAAAA&#10;AAAAAAAAAM4EAABkcnMvZG93bnJldi54bWxQSwUGAAAAAAQABADzAAAA1QUAAAAA&#10;" fillcolor="#7030a0" strokecolor="#3b3838" strokeweight=".5pt">
                      <v:path arrowok="t"/>
                    </v:rect>
                  </w:pict>
                </mc:Fallback>
              </mc:AlternateContent>
            </w:r>
            <w:r w:rsidRPr="00C62BC1">
              <w:rPr>
                <w:rFonts w:ascii="Arial" w:hAnsi="Arial" w:cs="Arial"/>
                <w:iCs/>
                <w:sz w:val="16"/>
                <w:szCs w:val="16"/>
              </w:rPr>
              <w:t xml:space="preserve">          Nhập khẩu </w:t>
            </w:r>
            <w:r w:rsidRPr="00C62BC1">
              <w:rPr>
                <w:rFonts w:ascii="Arial" w:hAnsi="Arial" w:cs="Arial"/>
                <w:iCs/>
                <w:noProof/>
                <w:sz w:val="16"/>
                <w:szCs w:val="16"/>
              </w:rPr>
              <w:t>h</w:t>
            </w:r>
            <w:r w:rsidRPr="00C62BC1">
              <w:rPr>
                <w:rFonts w:ascii="Arial" w:hAnsi="Arial" w:cs="Arial"/>
                <w:iCs/>
                <w:sz w:val="16"/>
                <w:szCs w:val="16"/>
              </w:rPr>
              <w:t>àng hóa</w:t>
            </w:r>
          </w:p>
        </w:tc>
        <w:tc>
          <w:tcPr>
            <w:tcW w:w="1448" w:type="dxa"/>
          </w:tcPr>
          <w:p w14:paraId="323982A5" w14:textId="77777777" w:rsidR="00363493" w:rsidRPr="00C62BC1" w:rsidRDefault="00363493" w:rsidP="00BF1737">
            <w:pPr>
              <w:spacing w:before="40" w:after="40" w:line="288" w:lineRule="auto"/>
              <w:ind w:firstLine="567"/>
              <w:jc w:val="both"/>
              <w:rPr>
                <w:b/>
                <w:bCs/>
                <w:i/>
                <w:iCs/>
                <w:lang w:val="en-US"/>
              </w:rPr>
            </w:pPr>
          </w:p>
        </w:tc>
      </w:tr>
    </w:tbl>
    <w:p w14:paraId="3A9B2369" w14:textId="0AA98D3D" w:rsidR="007F367F" w:rsidRPr="00C62BC1" w:rsidRDefault="007F367F" w:rsidP="00C62BC1">
      <w:pPr>
        <w:spacing w:after="120" w:line="264" w:lineRule="auto"/>
        <w:ind w:firstLine="720"/>
        <w:jc w:val="both"/>
        <w:rPr>
          <w:rFonts w:asciiTheme="minorHAnsi" w:eastAsiaTheme="minorHAnsi" w:hAnsiTheme="minorHAnsi" w:cstheme="minorBidi"/>
          <w:sz w:val="22"/>
          <w:szCs w:val="22"/>
        </w:rPr>
      </w:pPr>
      <w:r w:rsidRPr="00C62BC1">
        <w:rPr>
          <w:iCs/>
        </w:rPr>
        <w:t>Theo số liệu sơ bộ, cán cân thương mại hàng hóa tháng Mười xuất siêu 2,6 tỷ USD</w:t>
      </w:r>
      <w:bookmarkStart w:id="7" w:name="_Hlk213089971"/>
      <w:r w:rsidRPr="00C62BC1">
        <w:rPr>
          <w:iCs/>
          <w:vertAlign w:val="superscript"/>
        </w:rPr>
        <w:footnoteReference w:id="24"/>
      </w:r>
      <w:bookmarkEnd w:id="7"/>
      <w:r w:rsidRPr="00C62BC1">
        <w:rPr>
          <w:iCs/>
        </w:rPr>
        <w:t>; mười tháng xuất siêu 19,44 tỷ USD; tháng Mười Một xuất siêu 1,09 tỷ USD. Tính chung mười một tháng năm 2025, cán cân thương mại hàng hóa xuất siêu 20,53 tỷ USD (cùng kỳ năm trước xuất siêu 24,38 tỷ USD). Trong đó, khu vực kinh tế trong nước nhập siêu 25,99 tỷ USD; khu vực có vốn đầu tư nước ngoài (kể cả dầu thô) xuất siêu 46,52 tỷ USD.</w:t>
      </w:r>
    </w:p>
    <w:p w14:paraId="346D422D" w14:textId="303C79B1" w:rsidR="00EF7A8C" w:rsidRPr="00C62BC1" w:rsidRDefault="00EF7A8C" w:rsidP="00C62BC1">
      <w:pPr>
        <w:spacing w:after="120" w:line="245" w:lineRule="auto"/>
        <w:ind w:firstLine="720"/>
        <w:jc w:val="both"/>
        <w:rPr>
          <w:b/>
          <w:i/>
          <w:lang w:val="en-IN"/>
        </w:rPr>
      </w:pPr>
      <w:r w:rsidRPr="00C62BC1">
        <w:rPr>
          <w:b/>
          <w:i/>
        </w:rPr>
        <w:lastRenderedPageBreak/>
        <w:t>c) Chỉ số giá tiêu dùng, chỉ số giá vàng và chỉ số giá đô la M</w:t>
      </w:r>
      <w:r w:rsidRPr="00C62BC1">
        <w:rPr>
          <w:b/>
          <w:i/>
          <w:lang w:val="en-IN"/>
        </w:rPr>
        <w:t>ỹ</w:t>
      </w:r>
    </w:p>
    <w:p w14:paraId="5E907916" w14:textId="77777777" w:rsidR="00EF7A8C" w:rsidRPr="00C62BC1" w:rsidRDefault="00EF7A8C" w:rsidP="00C62BC1">
      <w:pPr>
        <w:spacing w:after="120" w:line="245" w:lineRule="auto"/>
        <w:ind w:firstLine="720"/>
        <w:jc w:val="both"/>
        <w:rPr>
          <w:rFonts w:eastAsia="Calibri"/>
          <w:i/>
          <w:lang w:eastAsia="x-none"/>
        </w:rPr>
      </w:pPr>
      <w:r w:rsidRPr="00C62BC1">
        <w:rPr>
          <w:rFonts w:eastAsia="Calibri"/>
          <w:i/>
          <w:lang w:val="x-none" w:eastAsia="x-none"/>
        </w:rPr>
        <w:t xml:space="preserve">Chỉ số giá tiêu dùng (CPI) tháng </w:t>
      </w:r>
      <w:r w:rsidRPr="00C62BC1">
        <w:rPr>
          <w:rFonts w:eastAsia="Calibri"/>
          <w:i/>
          <w:lang w:eastAsia="x-none"/>
        </w:rPr>
        <w:t>Mười</w:t>
      </w:r>
      <w:r w:rsidRPr="00C62BC1">
        <w:rPr>
          <w:rFonts w:eastAsia="Calibri"/>
          <w:i/>
          <w:lang w:val="x-none" w:eastAsia="x-none"/>
        </w:rPr>
        <w:t xml:space="preserve"> </w:t>
      </w:r>
      <w:r w:rsidRPr="00C62BC1">
        <w:rPr>
          <w:rFonts w:eastAsia="Calibri"/>
          <w:i/>
          <w:lang w:eastAsia="x-none"/>
        </w:rPr>
        <w:t xml:space="preserve">Một </w:t>
      </w:r>
      <w:r w:rsidRPr="00C62BC1">
        <w:rPr>
          <w:rFonts w:eastAsia="Calibri"/>
          <w:i/>
          <w:lang w:val="x-none" w:eastAsia="x-none"/>
        </w:rPr>
        <w:t>tăng 0,</w:t>
      </w:r>
      <w:r w:rsidRPr="00C62BC1">
        <w:rPr>
          <w:rFonts w:eastAsia="Calibri"/>
          <w:i/>
          <w:lang w:eastAsia="x-none"/>
        </w:rPr>
        <w:t>45</w:t>
      </w:r>
      <w:r w:rsidRPr="00C62BC1">
        <w:rPr>
          <w:rFonts w:eastAsia="Calibri"/>
          <w:i/>
          <w:lang w:val="x-none" w:eastAsia="x-none"/>
        </w:rPr>
        <w:t>% so với tháng trước chủ yếu do giá thực phẩm tăng cao tại các tỉnh, thành phố</w:t>
      </w:r>
      <w:r w:rsidRPr="00C62BC1">
        <w:rPr>
          <w:rFonts w:eastAsia="Calibri"/>
          <w:i/>
          <w:lang w:eastAsia="x-none"/>
        </w:rPr>
        <w:t xml:space="preserve"> trực thuộc trung ương</w:t>
      </w:r>
      <w:r w:rsidRPr="00C62BC1">
        <w:rPr>
          <w:rFonts w:eastAsia="Calibri"/>
          <w:i/>
          <w:lang w:val="x-none" w:eastAsia="x-none"/>
        </w:rPr>
        <w:t xml:space="preserve"> </w:t>
      </w:r>
      <w:r w:rsidRPr="00C62BC1">
        <w:rPr>
          <w:rFonts w:eastAsia="Calibri"/>
          <w:i/>
          <w:lang w:eastAsia="x-none"/>
        </w:rPr>
        <w:t>chịu</w:t>
      </w:r>
      <w:r w:rsidRPr="00C62BC1">
        <w:rPr>
          <w:rFonts w:eastAsia="Calibri"/>
          <w:i/>
          <w:lang w:val="x-none" w:eastAsia="x-none"/>
        </w:rPr>
        <w:t xml:space="preserve"> ảnh hưởng trực tiếp bởi mưa lũ sau bão</w:t>
      </w:r>
      <w:r w:rsidRPr="00C62BC1">
        <w:rPr>
          <w:rStyle w:val="FootnoteReference"/>
          <w:rFonts w:eastAsia="Calibri"/>
          <w:i/>
          <w:lang w:val="x-none" w:eastAsia="x-none"/>
        </w:rPr>
        <w:footnoteReference w:id="25"/>
      </w:r>
      <w:r w:rsidRPr="00C62BC1">
        <w:rPr>
          <w:rFonts w:eastAsia="Calibri"/>
          <w:i/>
          <w:lang w:val="x-none" w:eastAsia="x-none"/>
        </w:rPr>
        <w:t xml:space="preserve">; ăn uống ngoài gia đình tăng </w:t>
      </w:r>
      <w:r w:rsidRPr="00C62BC1">
        <w:rPr>
          <w:rFonts w:eastAsia="Calibri"/>
          <w:i/>
          <w:lang w:eastAsia="x-none"/>
        </w:rPr>
        <w:t>do</w:t>
      </w:r>
      <w:r w:rsidRPr="00C62BC1">
        <w:rPr>
          <w:rFonts w:eastAsia="Calibri"/>
          <w:i/>
          <w:lang w:val="x-none" w:eastAsia="x-none"/>
        </w:rPr>
        <w:t xml:space="preserve"> chi phí nguyên liệu đầu vào và giá nhiên liệu tăng</w:t>
      </w:r>
      <w:r w:rsidRPr="00C62BC1">
        <w:rPr>
          <w:rStyle w:val="FootnoteReference"/>
          <w:rFonts w:eastAsia="Calibri"/>
          <w:i/>
          <w:vertAlign w:val="baseline"/>
          <w:lang w:val="x-none" w:eastAsia="x-none"/>
        </w:rPr>
        <w:t xml:space="preserve">. </w:t>
      </w:r>
      <w:r w:rsidRPr="00C62BC1">
        <w:rPr>
          <w:rFonts w:eastAsia="Calibri"/>
          <w:i/>
          <w:lang w:val="x-none" w:eastAsia="x-none"/>
        </w:rPr>
        <w:t xml:space="preserve">CPI tháng </w:t>
      </w:r>
      <w:r w:rsidRPr="00C62BC1">
        <w:rPr>
          <w:rFonts w:eastAsia="Calibri"/>
          <w:i/>
          <w:lang w:eastAsia="x-none"/>
        </w:rPr>
        <w:t>Mười Một</w:t>
      </w:r>
      <w:r w:rsidRPr="00C62BC1">
        <w:rPr>
          <w:rFonts w:eastAsia="Calibri"/>
          <w:i/>
          <w:lang w:val="x-none" w:eastAsia="x-none"/>
        </w:rPr>
        <w:t xml:space="preserve"> tăng </w:t>
      </w:r>
      <w:r w:rsidRPr="00C62BC1">
        <w:rPr>
          <w:rFonts w:eastAsia="Calibri"/>
          <w:i/>
          <w:lang w:eastAsia="x-none"/>
        </w:rPr>
        <w:t>3,28</w:t>
      </w:r>
      <w:r w:rsidRPr="00C62BC1">
        <w:rPr>
          <w:rFonts w:eastAsia="Calibri"/>
          <w:i/>
          <w:lang w:val="x-none" w:eastAsia="x-none"/>
        </w:rPr>
        <w:t>% so với tháng 12/2024; tăng 3,</w:t>
      </w:r>
      <w:r w:rsidRPr="00C62BC1">
        <w:rPr>
          <w:rFonts w:eastAsia="Calibri"/>
          <w:i/>
          <w:lang w:eastAsia="x-none"/>
        </w:rPr>
        <w:t>58</w:t>
      </w:r>
      <w:r w:rsidRPr="00C62BC1">
        <w:rPr>
          <w:rFonts w:eastAsia="Calibri"/>
          <w:i/>
          <w:lang w:val="x-none" w:eastAsia="x-none"/>
        </w:rPr>
        <w:t>% so với cùng kỳ năm trước</w:t>
      </w:r>
      <w:r w:rsidRPr="00C62BC1">
        <w:rPr>
          <w:rFonts w:eastAsia="Calibri"/>
          <w:i/>
          <w:lang w:eastAsia="x-none"/>
        </w:rPr>
        <w:t>.</w:t>
      </w:r>
    </w:p>
    <w:p w14:paraId="6782186E" w14:textId="77777777" w:rsidR="00EF7A8C" w:rsidRPr="00C62BC1" w:rsidRDefault="00EF7A8C" w:rsidP="00C62BC1">
      <w:pPr>
        <w:spacing w:after="120" w:line="245" w:lineRule="auto"/>
        <w:ind w:firstLine="720"/>
        <w:jc w:val="both"/>
        <w:rPr>
          <w:rFonts w:eastAsia="Calibri"/>
          <w:i/>
          <w:lang w:val="x-none" w:eastAsia="x-none"/>
        </w:rPr>
      </w:pPr>
      <w:r w:rsidRPr="00C62BC1">
        <w:rPr>
          <w:rFonts w:eastAsia="Calibri"/>
          <w:i/>
          <w:lang w:val="x-none" w:eastAsia="x-none"/>
        </w:rPr>
        <w:t xml:space="preserve">Bình quân </w:t>
      </w:r>
      <w:r w:rsidRPr="00C62BC1">
        <w:rPr>
          <w:rFonts w:eastAsia="Calibri"/>
          <w:i/>
          <w:lang w:eastAsia="x-none"/>
        </w:rPr>
        <w:t>mười</w:t>
      </w:r>
      <w:r w:rsidRPr="00C62BC1">
        <w:rPr>
          <w:rFonts w:eastAsia="Calibri"/>
          <w:i/>
          <w:lang w:val="x-none" w:eastAsia="x-none"/>
        </w:rPr>
        <w:t xml:space="preserve"> </w:t>
      </w:r>
      <w:r w:rsidRPr="00C62BC1">
        <w:rPr>
          <w:rFonts w:eastAsia="Calibri"/>
          <w:i/>
          <w:lang w:eastAsia="x-none"/>
        </w:rPr>
        <w:t xml:space="preserve">một </w:t>
      </w:r>
      <w:r w:rsidRPr="00C62BC1">
        <w:rPr>
          <w:rFonts w:eastAsia="Calibri"/>
          <w:i/>
          <w:lang w:val="x-none" w:eastAsia="x-none"/>
        </w:rPr>
        <w:t>tháng năm 2025, CPI tăng 3,29% so với cùng kỳ năm trước; lạm phát cơ bản tăng 3,21%.</w:t>
      </w:r>
    </w:p>
    <w:p w14:paraId="0DE8A29D" w14:textId="2A6D3C92" w:rsidR="00EF7A8C" w:rsidRPr="00C62BC1" w:rsidRDefault="00EF7A8C" w:rsidP="00EF7A8C">
      <w:pPr>
        <w:spacing w:after="160" w:line="259" w:lineRule="auto"/>
        <w:jc w:val="center"/>
        <w:rPr>
          <w:rFonts w:ascii="Arial" w:eastAsia="Calibri" w:hAnsi="Arial" w:cs="Arial"/>
          <w:b/>
          <w:sz w:val="24"/>
          <w:szCs w:val="24"/>
          <w:lang w:val="nl-NL"/>
        </w:rPr>
      </w:pPr>
      <w:r w:rsidRPr="00C62BC1">
        <w:rPr>
          <w:rFonts w:ascii="Arial" w:eastAsia="Calibri" w:hAnsi="Arial" w:cs="Arial"/>
          <w:b/>
          <w:sz w:val="24"/>
          <w:szCs w:val="24"/>
          <w:lang w:val="nl-NL"/>
        </w:rPr>
        <w:t>Hình 15. Tốc độ tăng/giảm CPI tháng 11/2025 so với tháng trước</w:t>
      </w:r>
    </w:p>
    <w:p w14:paraId="30B32346" w14:textId="77777777" w:rsidR="00EF7A8C" w:rsidRPr="00C62BC1" w:rsidRDefault="00EF7A8C" w:rsidP="00EF7A8C">
      <w:pPr>
        <w:spacing w:after="160" w:line="259" w:lineRule="auto"/>
        <w:jc w:val="center"/>
      </w:pPr>
      <w:r w:rsidRPr="00C62BC1">
        <w:rPr>
          <w:rFonts w:ascii="Arial" w:eastAsia="Calibri" w:hAnsi="Arial" w:cs="Arial"/>
          <w:b/>
          <w:noProof/>
          <w:sz w:val="24"/>
          <w:szCs w:val="24"/>
        </w:rPr>
        <w:drawing>
          <wp:inline distT="0" distB="0" distL="0" distR="0" wp14:anchorId="42072342" wp14:editId="3CF2C1B0">
            <wp:extent cx="5828199" cy="3018579"/>
            <wp:effectExtent l="0" t="0" r="1270" b="0"/>
            <wp:docPr id="2067295163" name="Picture 2067295163" descr="A graph with red and green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295163" name="Picture 2067295163" descr="A graph with red and green bars&#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7239" cy="3028440"/>
                    </a:xfrm>
                    <a:prstGeom prst="rect">
                      <a:avLst/>
                    </a:prstGeom>
                    <a:noFill/>
                  </pic:spPr>
                </pic:pic>
              </a:graphicData>
            </a:graphic>
          </wp:inline>
        </w:drawing>
      </w:r>
    </w:p>
    <w:p w14:paraId="419D8553" w14:textId="77777777" w:rsidR="008E3EB5" w:rsidRPr="00C62BC1" w:rsidRDefault="008E3EB5" w:rsidP="008E3EB5">
      <w:pPr>
        <w:widowControl w:val="0"/>
        <w:spacing w:after="120" w:line="264" w:lineRule="auto"/>
        <w:ind w:firstLine="720"/>
        <w:jc w:val="both"/>
        <w:rPr>
          <w:rFonts w:eastAsia="Calibri"/>
          <w:lang w:val="nl-NL"/>
        </w:rPr>
      </w:pPr>
      <w:r w:rsidRPr="00C62BC1">
        <w:rPr>
          <w:rFonts w:eastAsia="Calibri"/>
          <w:lang w:val="nl-NL"/>
        </w:rPr>
        <w:t>Trong mức tăng 0,45% của CPI tháng Mười Một so với tháng trước, có 09 nhóm hàng hóa và dịch vụ có chỉ số giá tăng; 02 nhóm hàng hóa và dịch vụ có chỉ số giá giảm.</w:t>
      </w:r>
    </w:p>
    <w:p w14:paraId="635CFDC8" w14:textId="77777777" w:rsidR="00EF7A8C" w:rsidRPr="00C62BC1" w:rsidRDefault="00EF7A8C" w:rsidP="00C62BC1">
      <w:pPr>
        <w:spacing w:after="120" w:line="264" w:lineRule="auto"/>
        <w:ind w:firstLine="720"/>
        <w:jc w:val="both"/>
      </w:pPr>
      <w:r w:rsidRPr="00C62BC1">
        <w:rPr>
          <w:rFonts w:eastAsia="Calibri"/>
          <w:lang w:val="x-none" w:eastAsia="x-none"/>
        </w:rPr>
        <w:t>(1) Chín nhóm hàng hóa và dịch vụ có chỉ số giá tăng gồm:</w:t>
      </w:r>
    </w:p>
    <w:p w14:paraId="0180DB32" w14:textId="77777777" w:rsidR="00EF7A8C" w:rsidRPr="00C62BC1" w:rsidRDefault="00EF7A8C" w:rsidP="00C62BC1">
      <w:pPr>
        <w:pStyle w:val="NormalWeb"/>
        <w:spacing w:before="0" w:beforeAutospacing="0" w:after="120" w:afterAutospacing="0" w:line="257" w:lineRule="auto"/>
        <w:ind w:firstLine="720"/>
        <w:jc w:val="both"/>
        <w:rPr>
          <w:sz w:val="28"/>
          <w:szCs w:val="28"/>
        </w:rPr>
      </w:pPr>
      <w:r w:rsidRPr="00C62BC1">
        <w:rPr>
          <w:sz w:val="28"/>
          <w:szCs w:val="28"/>
        </w:rPr>
        <w:t xml:space="preserve">- </w:t>
      </w:r>
      <w:r w:rsidRPr="00C62BC1">
        <w:rPr>
          <w:i/>
          <w:sz w:val="28"/>
          <w:szCs w:val="28"/>
          <w:lang w:val="en-US"/>
        </w:rPr>
        <w:t>Nhóm giao thông</w:t>
      </w:r>
      <w:r w:rsidRPr="00C62BC1">
        <w:rPr>
          <w:sz w:val="28"/>
          <w:szCs w:val="28"/>
          <w:lang w:val="en-US"/>
        </w:rPr>
        <w:t xml:space="preserve"> tăng 1,07% (tác động làm tăng CPI chung </w:t>
      </w:r>
      <w:r w:rsidRPr="00C62BC1">
        <w:rPr>
          <w:sz w:val="28"/>
          <w:szCs w:val="28"/>
        </w:rPr>
        <w:t>0,11</w:t>
      </w:r>
      <w:r w:rsidRPr="00C62BC1">
        <w:rPr>
          <w:sz w:val="28"/>
          <w:szCs w:val="28"/>
          <w:lang w:val="en-US"/>
        </w:rPr>
        <w:t xml:space="preserve"> điểm phần trăm)</w:t>
      </w:r>
      <w:r w:rsidRPr="00C62BC1">
        <w:rPr>
          <w:sz w:val="28"/>
          <w:szCs w:val="28"/>
        </w:rPr>
        <w:t xml:space="preserve">, </w:t>
      </w:r>
      <w:r w:rsidRPr="00C62BC1">
        <w:rPr>
          <w:sz w:val="28"/>
          <w:szCs w:val="28"/>
          <w:lang w:val="en-US"/>
        </w:rPr>
        <w:t>t</w:t>
      </w:r>
      <w:r w:rsidRPr="00C62BC1">
        <w:rPr>
          <w:sz w:val="28"/>
          <w:szCs w:val="28"/>
        </w:rPr>
        <w:t>rong đó, chỉ số giá dầu diesel tăng 5,23%; chỉ số giá xăng</w:t>
      </w:r>
      <w:r w:rsidRPr="00C62BC1">
        <w:rPr>
          <w:sz w:val="28"/>
          <w:szCs w:val="28"/>
          <w:lang w:val="vi-VN"/>
        </w:rPr>
        <w:t xml:space="preserve"> </w:t>
      </w:r>
      <w:r w:rsidRPr="00C62BC1">
        <w:rPr>
          <w:sz w:val="28"/>
          <w:szCs w:val="28"/>
        </w:rPr>
        <w:t>tăng 2,41</w:t>
      </w:r>
      <w:r w:rsidRPr="00C62BC1">
        <w:rPr>
          <w:sz w:val="28"/>
          <w:szCs w:val="28"/>
          <w:lang w:val="vi-VN"/>
        </w:rPr>
        <w:t xml:space="preserve">% do ảnh hưởng của các đợt điều chỉnh giá xăng dầu trong nước. </w:t>
      </w:r>
      <w:r w:rsidRPr="00C62BC1">
        <w:rPr>
          <w:sz w:val="28"/>
          <w:szCs w:val="28"/>
        </w:rPr>
        <w:t>Thêm vào đó, giá xe máy tăng 0,03%; phụ tùng ô tô tăng 0,29%.</w:t>
      </w:r>
      <w:r w:rsidRPr="00C62BC1">
        <w:rPr>
          <w:sz w:val="28"/>
          <w:szCs w:val="28"/>
          <w:lang w:val="vi-VN"/>
        </w:rPr>
        <w:t xml:space="preserve"> </w:t>
      </w:r>
      <w:r w:rsidRPr="00C62BC1">
        <w:rPr>
          <w:sz w:val="28"/>
          <w:szCs w:val="28"/>
        </w:rPr>
        <w:t>Giá vận tải hành khách bằng đường hàng không tăng 3,61%; vận tải hành khách kết hợp tăng 0,57% do nhu cầu đi lại tăng.</w:t>
      </w:r>
      <w:r w:rsidRPr="00C62BC1">
        <w:rPr>
          <w:sz w:val="28"/>
          <w:szCs w:val="28"/>
          <w:lang w:val="vi-VN"/>
        </w:rPr>
        <w:t xml:space="preserve"> </w:t>
      </w:r>
      <w:r w:rsidRPr="00C62BC1">
        <w:rPr>
          <w:sz w:val="28"/>
          <w:szCs w:val="28"/>
        </w:rPr>
        <w:t>Giá nhóm phụ tùng tăng 0,31% do chi phí nhập khẩu linh kiện tăng.</w:t>
      </w:r>
      <w:r w:rsidRPr="00C62BC1">
        <w:rPr>
          <w:sz w:val="28"/>
          <w:szCs w:val="28"/>
          <w:lang w:val="vi-VN"/>
        </w:rPr>
        <w:t xml:space="preserve"> </w:t>
      </w:r>
      <w:r w:rsidRPr="00C62BC1">
        <w:rPr>
          <w:sz w:val="28"/>
          <w:szCs w:val="28"/>
        </w:rPr>
        <w:t>Giá bảo dưỡng phương tiện đi lại tăng 0,46%, trong đó giá sửa chữa xe máy tăng 0,46% và sửa chữa xe đạp tăng 0,22% do chi phí nhân công tăng.</w:t>
      </w:r>
    </w:p>
    <w:p w14:paraId="4765B21B" w14:textId="77777777" w:rsidR="00EF7A8C" w:rsidRPr="00C62BC1" w:rsidRDefault="00EF7A8C" w:rsidP="00C62BC1">
      <w:pPr>
        <w:pStyle w:val="NormalWeb"/>
        <w:spacing w:before="0" w:beforeAutospacing="0" w:after="120" w:afterAutospacing="0" w:line="257" w:lineRule="auto"/>
        <w:ind w:firstLine="720"/>
        <w:jc w:val="both"/>
        <w:rPr>
          <w:sz w:val="28"/>
          <w:szCs w:val="28"/>
        </w:rPr>
      </w:pPr>
      <w:r w:rsidRPr="00C62BC1">
        <w:rPr>
          <w:sz w:val="28"/>
          <w:szCs w:val="28"/>
        </w:rPr>
        <w:lastRenderedPageBreak/>
        <w:t>Ở chiều ngược lại, một số nhóm hàng có chỉ số giá giảm:</w:t>
      </w:r>
      <w:r w:rsidRPr="00C62BC1">
        <w:rPr>
          <w:sz w:val="28"/>
          <w:szCs w:val="28"/>
          <w:lang w:val="en-US"/>
        </w:rPr>
        <w:t xml:space="preserve"> </w:t>
      </w:r>
      <w:r w:rsidRPr="00C62BC1">
        <w:rPr>
          <w:sz w:val="28"/>
          <w:szCs w:val="28"/>
        </w:rPr>
        <w:t>Giá xe ô tô mới giảm 0,4</w:t>
      </w:r>
      <w:r w:rsidRPr="00C62BC1">
        <w:rPr>
          <w:sz w:val="28"/>
          <w:szCs w:val="28"/>
          <w:lang w:val="en-US"/>
        </w:rPr>
        <w:t>0</w:t>
      </w:r>
      <w:r w:rsidRPr="00C62BC1">
        <w:rPr>
          <w:sz w:val="28"/>
          <w:szCs w:val="28"/>
        </w:rPr>
        <w:t>% do doanh nghiệp giảm giá để kích cầu trước khi chuyển sang dòng xe mới; xe đạp giảm 0,05%; xe ô tô đã qua sử dụng giảm 0,34%. Giá vận tải hành khách bằng xe taxi giảm 0,03%.</w:t>
      </w:r>
    </w:p>
    <w:p w14:paraId="236E7E58" w14:textId="77777777" w:rsidR="00EF7A8C" w:rsidRPr="00C62BC1" w:rsidRDefault="00EF7A8C" w:rsidP="00C62BC1">
      <w:pPr>
        <w:pStyle w:val="NormalWeb"/>
        <w:spacing w:before="0" w:beforeAutospacing="0" w:after="120" w:afterAutospacing="0" w:line="257" w:lineRule="auto"/>
        <w:ind w:firstLine="720"/>
        <w:jc w:val="both"/>
        <w:rPr>
          <w:iCs/>
          <w:sz w:val="28"/>
          <w:szCs w:val="28"/>
        </w:rPr>
      </w:pPr>
      <w:r w:rsidRPr="00C62BC1">
        <w:rPr>
          <w:sz w:val="28"/>
          <w:szCs w:val="28"/>
          <w:lang w:val="en-US"/>
        </w:rPr>
        <w:t xml:space="preserve">- </w:t>
      </w:r>
      <w:r w:rsidRPr="00C62BC1">
        <w:rPr>
          <w:i/>
          <w:sz w:val="28"/>
          <w:szCs w:val="28"/>
        </w:rPr>
        <w:t>Nhóm hàng ăn và dịch vụ ăn uống</w:t>
      </w:r>
      <w:r w:rsidRPr="00C62BC1">
        <w:rPr>
          <w:sz w:val="28"/>
          <w:szCs w:val="28"/>
        </w:rPr>
        <w:t xml:space="preserve"> tăng 0,</w:t>
      </w:r>
      <w:r w:rsidRPr="00C62BC1">
        <w:rPr>
          <w:sz w:val="28"/>
          <w:szCs w:val="28"/>
          <w:lang w:val="en-US"/>
        </w:rPr>
        <w:t>95</w:t>
      </w:r>
      <w:r w:rsidRPr="00C62BC1">
        <w:rPr>
          <w:sz w:val="28"/>
          <w:szCs w:val="28"/>
        </w:rPr>
        <w:t>% (</w:t>
      </w:r>
      <w:r w:rsidRPr="00C62BC1">
        <w:rPr>
          <w:iCs/>
          <w:sz w:val="28"/>
          <w:szCs w:val="28"/>
        </w:rPr>
        <w:t>tác động làm CPI chung tăng 0,</w:t>
      </w:r>
      <w:r w:rsidRPr="00C62BC1">
        <w:rPr>
          <w:iCs/>
          <w:sz w:val="28"/>
          <w:szCs w:val="28"/>
          <w:lang w:val="en-US"/>
        </w:rPr>
        <w:t>34</w:t>
      </w:r>
      <w:r w:rsidRPr="00C62BC1">
        <w:rPr>
          <w:iCs/>
          <w:sz w:val="28"/>
          <w:szCs w:val="28"/>
        </w:rPr>
        <w:t xml:space="preserve"> điểm phần trăm)</w:t>
      </w:r>
      <w:r w:rsidRPr="00C62BC1">
        <w:rPr>
          <w:sz w:val="28"/>
          <w:szCs w:val="28"/>
        </w:rPr>
        <w:t xml:space="preserve">, trong đó: </w:t>
      </w:r>
      <w:r w:rsidRPr="00C62BC1">
        <w:rPr>
          <w:iCs/>
          <w:sz w:val="28"/>
          <w:szCs w:val="28"/>
        </w:rPr>
        <w:t xml:space="preserve">Thực phẩm tăng </w:t>
      </w:r>
      <w:r w:rsidRPr="00C62BC1">
        <w:rPr>
          <w:iCs/>
          <w:sz w:val="28"/>
          <w:szCs w:val="28"/>
          <w:lang w:val="en-US"/>
        </w:rPr>
        <w:t>1,33</w:t>
      </w:r>
      <w:r w:rsidRPr="00C62BC1">
        <w:rPr>
          <w:iCs/>
          <w:sz w:val="28"/>
          <w:szCs w:val="28"/>
        </w:rPr>
        <w:t>%</w:t>
      </w:r>
      <w:r w:rsidRPr="00C62BC1">
        <w:rPr>
          <w:rStyle w:val="FootnoteReference"/>
          <w:iCs/>
          <w:sz w:val="28"/>
          <w:szCs w:val="28"/>
        </w:rPr>
        <w:footnoteReference w:id="26"/>
      </w:r>
      <w:r w:rsidRPr="00C62BC1">
        <w:rPr>
          <w:iCs/>
          <w:sz w:val="28"/>
          <w:szCs w:val="28"/>
        </w:rPr>
        <w:t xml:space="preserve"> (tác động làm CPI chung tăng 0,</w:t>
      </w:r>
      <w:r w:rsidRPr="00C62BC1">
        <w:rPr>
          <w:iCs/>
          <w:sz w:val="28"/>
          <w:szCs w:val="28"/>
          <w:lang w:val="en-US"/>
        </w:rPr>
        <w:t>3</w:t>
      </w:r>
      <w:r w:rsidRPr="00C62BC1">
        <w:rPr>
          <w:iCs/>
          <w:sz w:val="28"/>
          <w:szCs w:val="28"/>
        </w:rPr>
        <w:t xml:space="preserve"> điểm phần trăm); ăn uống ngoài gia đình tăng 0,</w:t>
      </w:r>
      <w:r w:rsidRPr="00C62BC1">
        <w:rPr>
          <w:iCs/>
          <w:sz w:val="28"/>
          <w:szCs w:val="28"/>
          <w:lang w:val="en-US"/>
        </w:rPr>
        <w:t>34</w:t>
      </w:r>
      <w:r w:rsidRPr="00C62BC1">
        <w:rPr>
          <w:iCs/>
          <w:sz w:val="28"/>
          <w:szCs w:val="28"/>
        </w:rPr>
        <w:t>%</w:t>
      </w:r>
      <w:r w:rsidRPr="00C62BC1">
        <w:rPr>
          <w:rStyle w:val="FootnoteReference"/>
          <w:iCs/>
          <w:sz w:val="28"/>
          <w:szCs w:val="28"/>
        </w:rPr>
        <w:footnoteReference w:id="27"/>
      </w:r>
      <w:r w:rsidRPr="00C62BC1">
        <w:rPr>
          <w:iCs/>
          <w:sz w:val="28"/>
          <w:szCs w:val="28"/>
        </w:rPr>
        <w:t>; lương thực tăng 0,</w:t>
      </w:r>
      <w:r w:rsidRPr="00C62BC1">
        <w:rPr>
          <w:iCs/>
          <w:sz w:val="28"/>
          <w:szCs w:val="28"/>
          <w:lang w:val="en-US"/>
        </w:rPr>
        <w:t>30</w:t>
      </w:r>
      <w:r w:rsidRPr="00C62BC1">
        <w:rPr>
          <w:iCs/>
          <w:sz w:val="28"/>
          <w:szCs w:val="28"/>
        </w:rPr>
        <w:t>%</w:t>
      </w:r>
      <w:r w:rsidRPr="00C62BC1">
        <w:rPr>
          <w:rStyle w:val="FootnoteReference"/>
          <w:iCs/>
          <w:sz w:val="28"/>
          <w:szCs w:val="28"/>
        </w:rPr>
        <w:footnoteReference w:id="28"/>
      </w:r>
      <w:r w:rsidRPr="00C62BC1">
        <w:rPr>
          <w:iCs/>
          <w:sz w:val="28"/>
          <w:szCs w:val="28"/>
        </w:rPr>
        <w:t xml:space="preserve">.  </w:t>
      </w:r>
    </w:p>
    <w:p w14:paraId="60F1AE50" w14:textId="77777777" w:rsidR="00EF7A8C" w:rsidRPr="00C62BC1" w:rsidRDefault="00EF7A8C" w:rsidP="00C62BC1">
      <w:pPr>
        <w:pStyle w:val="NormalWeb"/>
        <w:spacing w:before="0" w:beforeAutospacing="0" w:after="120" w:afterAutospacing="0" w:line="257" w:lineRule="auto"/>
        <w:ind w:firstLine="720"/>
        <w:jc w:val="both"/>
        <w:rPr>
          <w:iCs/>
          <w:sz w:val="28"/>
          <w:szCs w:val="28"/>
          <w:lang w:val="en-US"/>
        </w:rPr>
      </w:pPr>
      <w:r w:rsidRPr="00C62BC1">
        <w:rPr>
          <w:iCs/>
          <w:sz w:val="28"/>
          <w:szCs w:val="28"/>
          <w:lang w:val="en-US"/>
        </w:rPr>
        <w:t xml:space="preserve">- </w:t>
      </w:r>
      <w:r w:rsidRPr="00C62BC1">
        <w:rPr>
          <w:i/>
          <w:iCs/>
          <w:sz w:val="28"/>
          <w:szCs w:val="28"/>
          <w:lang w:val="en-US"/>
        </w:rPr>
        <w:t>Nhóm hàng hóa và dịch vụ khác</w:t>
      </w:r>
      <w:r w:rsidRPr="00C62BC1">
        <w:rPr>
          <w:iCs/>
          <w:sz w:val="28"/>
          <w:szCs w:val="28"/>
          <w:lang w:val="en-US"/>
        </w:rPr>
        <w:t xml:space="preserve"> tăng 0,30%, chủ yếu ở một số mặt hàng như: Giá đồ trang sức tăng 3,22% theo giá vàng thế giới; dụng cụ cá nhân không dùng điện tăng 0,04%; hàng chăm sóc cơ thể và sửa chữa đồng hồ đeo tay, sửa chữa đồ trang sức cùng tăng 0,19%; dịch vụ về hiếu, hỷ tăng 0,22%; dịch vụ chăm sóc cá nhân tăng 0,47%; dịch vụ cắt tóc, gội đầu tăng 0,79%.</w:t>
      </w:r>
    </w:p>
    <w:p w14:paraId="32B923AE" w14:textId="77777777" w:rsidR="00EF7A8C" w:rsidRPr="00C62BC1" w:rsidRDefault="00EF7A8C" w:rsidP="00C62BC1">
      <w:pPr>
        <w:pStyle w:val="BodyText"/>
        <w:spacing w:line="257" w:lineRule="auto"/>
        <w:ind w:firstLine="720"/>
        <w:jc w:val="both"/>
        <w:rPr>
          <w:b/>
        </w:rPr>
      </w:pPr>
      <w:r w:rsidRPr="00C62BC1">
        <w:rPr>
          <w:iCs/>
        </w:rPr>
        <w:t xml:space="preserve">- </w:t>
      </w:r>
      <w:r w:rsidRPr="00C62BC1">
        <w:rPr>
          <w:i/>
        </w:rPr>
        <w:t>Nhóm thiết bị và đồ dùng gia đình</w:t>
      </w:r>
      <w:r w:rsidRPr="00C62BC1">
        <w:t xml:space="preserve"> tăng 0,17% do chi phí sản xuất và nhân công tăng. Trong đó, bàn là điện tăng 1,26%; nồi điện tăng 0,76%; gương treo tường tăng 0,72%; bát, đĩa tăng 0,42%; ấm, phích nước điện tăng 0,33%; dịch vụ trong gia đình tăng 0,27%; máy đánh trứng tăng 0,26%; tủ các loại tăng 0,24%; bếp ga tăng 0,18%; đèn điện thắp sáng, xà phòng, chất tẩy rửa và giường cùng tăng 0,23%.</w:t>
      </w:r>
    </w:p>
    <w:p w14:paraId="039AA447" w14:textId="77777777" w:rsidR="00EF7A8C" w:rsidRPr="00C62BC1" w:rsidRDefault="00EF7A8C" w:rsidP="00C62BC1">
      <w:pPr>
        <w:spacing w:after="120" w:line="257" w:lineRule="auto"/>
        <w:ind w:firstLine="720"/>
        <w:jc w:val="both"/>
        <w:rPr>
          <w:bCs/>
        </w:rPr>
      </w:pPr>
      <w:r w:rsidRPr="00C62BC1">
        <w:rPr>
          <w:iCs/>
        </w:rPr>
        <w:t xml:space="preserve">- </w:t>
      </w:r>
      <w:r w:rsidRPr="00C62BC1">
        <w:rPr>
          <w:bCs/>
          <w:i/>
        </w:rPr>
        <w:t>Nhóm may mặc, mũ nón và giày dép</w:t>
      </w:r>
      <w:r w:rsidRPr="00C62BC1">
        <w:rPr>
          <w:bCs/>
        </w:rPr>
        <w:t xml:space="preserve"> tăng 0,12% do </w:t>
      </w:r>
      <w:r w:rsidRPr="00C62BC1">
        <w:rPr>
          <w:bCs/>
          <w:spacing w:val="-2"/>
          <w:lang w:val="vi-VN"/>
        </w:rPr>
        <w:t xml:space="preserve">nhu cầu mua sắm </w:t>
      </w:r>
      <w:r w:rsidRPr="00C62BC1">
        <w:rPr>
          <w:bCs/>
          <w:spacing w:val="-2"/>
          <w:lang w:val="en-GB"/>
        </w:rPr>
        <w:t xml:space="preserve">quần áo, giày dép tăng vào thời điểm giao mùa và cuối năm. </w:t>
      </w:r>
      <w:r w:rsidRPr="00C62BC1">
        <w:rPr>
          <w:bCs/>
        </w:rPr>
        <w:t>Trong đó, giá vải các loại tăng 0,27%; quần áo may sẵn tăng 0,11%; may mặc khác tăng 0,28%; dịch vụ may mặc tăng 0,55%; dịch vụ giày, dép tăng 0,30%.</w:t>
      </w:r>
    </w:p>
    <w:p w14:paraId="5E9CF801" w14:textId="77777777" w:rsidR="00EF7A8C" w:rsidRPr="00C62BC1" w:rsidRDefault="00EF7A8C" w:rsidP="00C62BC1">
      <w:pPr>
        <w:spacing w:after="120" w:line="264" w:lineRule="auto"/>
        <w:ind w:firstLine="720"/>
        <w:jc w:val="both"/>
        <w:rPr>
          <w:bCs/>
          <w:lang w:val="vi-VN"/>
        </w:rPr>
      </w:pPr>
      <w:r w:rsidRPr="00C62BC1">
        <w:rPr>
          <w:iCs/>
        </w:rPr>
        <w:t xml:space="preserve">- </w:t>
      </w:r>
      <w:r w:rsidRPr="00C62BC1">
        <w:rPr>
          <w:i/>
        </w:rPr>
        <w:t>Nhóm đồ uống và thuốc lá</w:t>
      </w:r>
      <w:r w:rsidRPr="00C62BC1">
        <w:t xml:space="preserve"> tăng 0,10% do chi phí nguyên nhiên vật liệu và chi phí sản xuất tăng, trong đó giá nước uống tăng lực đóng chai, lon, hộp tăng 0,04%; rượu mạnh và thuốc hút cùng tăng 0,34%; bia lon tăng 0,16%; bia chai tăng 0,10%. </w:t>
      </w:r>
    </w:p>
    <w:p w14:paraId="46E331C1" w14:textId="77777777" w:rsidR="00EF7A8C" w:rsidRPr="00C62BC1" w:rsidRDefault="00EF7A8C" w:rsidP="00C62BC1">
      <w:pPr>
        <w:pStyle w:val="NormalWeb"/>
        <w:spacing w:before="0" w:beforeAutospacing="0" w:after="120" w:afterAutospacing="0" w:line="264" w:lineRule="auto"/>
        <w:ind w:firstLine="720"/>
        <w:jc w:val="both"/>
        <w:rPr>
          <w:spacing w:val="-2"/>
          <w:sz w:val="28"/>
          <w:szCs w:val="28"/>
        </w:rPr>
      </w:pPr>
      <w:r w:rsidRPr="00C62BC1">
        <w:rPr>
          <w:iCs/>
          <w:sz w:val="28"/>
          <w:szCs w:val="28"/>
          <w:lang w:val="vi-VN"/>
        </w:rPr>
        <w:lastRenderedPageBreak/>
        <w:t xml:space="preserve">- </w:t>
      </w:r>
      <w:r w:rsidRPr="00C62BC1">
        <w:rPr>
          <w:i/>
          <w:spacing w:val="-2"/>
          <w:sz w:val="28"/>
          <w:szCs w:val="28"/>
        </w:rPr>
        <w:t>Nhóm thuốc và dịch vụ y tế</w:t>
      </w:r>
      <w:r w:rsidRPr="00C62BC1">
        <w:rPr>
          <w:spacing w:val="-2"/>
          <w:sz w:val="28"/>
          <w:szCs w:val="28"/>
        </w:rPr>
        <w:t xml:space="preserve"> tăng 0,06% do nhóm thuốc hóc môn và thuốc hô hấp tăng 0,13%; thuốc giảm đau, hạ sốt chống viêm không steroid tăng 0,18%; nhóm vitamin và khoáng chất tăng 0,19%; thuốc đường tiêu hóa tăng 0,16%; thuốc chống dị ứng và các trường hợp quá mẫn và thuốc chống nhiễm, điều trị ký sinh trùng cùng tăng 0,12%.</w:t>
      </w:r>
    </w:p>
    <w:p w14:paraId="14F88877" w14:textId="77777777" w:rsidR="00EF7A8C" w:rsidRPr="00C62BC1" w:rsidRDefault="00EF7A8C" w:rsidP="00C62BC1">
      <w:pPr>
        <w:pStyle w:val="NormalWeb"/>
        <w:spacing w:before="0" w:beforeAutospacing="0" w:after="120" w:afterAutospacing="0" w:line="264" w:lineRule="auto"/>
        <w:ind w:firstLine="720"/>
        <w:jc w:val="both"/>
        <w:rPr>
          <w:iCs/>
          <w:sz w:val="28"/>
          <w:szCs w:val="28"/>
          <w:lang w:val="nl-NL"/>
        </w:rPr>
      </w:pPr>
      <w:r w:rsidRPr="00C62BC1">
        <w:rPr>
          <w:spacing w:val="2"/>
          <w:sz w:val="28"/>
          <w:szCs w:val="28"/>
          <w:lang w:val="nl-NL"/>
        </w:rPr>
        <w:t xml:space="preserve">- </w:t>
      </w:r>
      <w:r w:rsidRPr="00C62BC1">
        <w:rPr>
          <w:i/>
          <w:spacing w:val="2"/>
          <w:sz w:val="28"/>
          <w:szCs w:val="28"/>
          <w:lang w:val="nl-NL"/>
        </w:rPr>
        <w:t xml:space="preserve">Nhóm </w:t>
      </w:r>
      <w:r w:rsidRPr="00C62BC1">
        <w:rPr>
          <w:i/>
          <w:spacing w:val="2"/>
          <w:sz w:val="28"/>
          <w:szCs w:val="28"/>
          <w:lang w:val="vi-VN"/>
        </w:rPr>
        <w:t>giáo dục</w:t>
      </w:r>
      <w:r w:rsidRPr="00C62BC1">
        <w:rPr>
          <w:spacing w:val="2"/>
          <w:sz w:val="28"/>
          <w:szCs w:val="28"/>
          <w:lang w:val="nl-NL"/>
        </w:rPr>
        <w:t xml:space="preserve"> </w:t>
      </w:r>
      <w:r w:rsidRPr="00C62BC1">
        <w:rPr>
          <w:spacing w:val="2"/>
          <w:sz w:val="28"/>
          <w:szCs w:val="28"/>
        </w:rPr>
        <w:t>tăng 0,05</w:t>
      </w:r>
      <w:r w:rsidRPr="00C62BC1">
        <w:rPr>
          <w:spacing w:val="2"/>
          <w:sz w:val="28"/>
          <w:szCs w:val="28"/>
          <w:lang w:val="nl-NL"/>
        </w:rPr>
        <w:t xml:space="preserve">%, trong đó </w:t>
      </w:r>
      <w:r w:rsidRPr="00C62BC1">
        <w:rPr>
          <w:sz w:val="28"/>
          <w:szCs w:val="28"/>
          <w:lang w:val="nl-NL"/>
        </w:rPr>
        <w:t xml:space="preserve">giá dịch vụ giáo dục tăng 0,05% do một số trường đại học, cao đẳng, trung cấp, nghề nghiệp, trung học dân lập và mầm non tư thục tại một số địa phương điều chỉnh tăng học phí năm học 2025-2026 mặc dù các trường công lập được miễn, giảm và hỗ trợ học phí theo Nghị định số 238/2025/NĐ-CP ban hành ngày 03/9/2025 của Chính phủ. Bên cạnh đó, </w:t>
      </w:r>
      <w:r w:rsidRPr="00C62BC1">
        <w:rPr>
          <w:spacing w:val="2"/>
          <w:sz w:val="28"/>
          <w:szCs w:val="28"/>
          <w:lang w:val="nl-NL"/>
        </w:rPr>
        <w:t>giá sản phẩm từ giấy tăng 0,06%; bút viết các loại tăng 0,23%; văn phòng phẩm, đồ dùng học tập khác tăng 0,13%.</w:t>
      </w:r>
    </w:p>
    <w:p w14:paraId="1D97FE6C" w14:textId="77777777" w:rsidR="00EF7A8C" w:rsidRPr="00C62BC1" w:rsidRDefault="00EF7A8C" w:rsidP="00C62BC1">
      <w:pPr>
        <w:spacing w:after="120" w:line="264" w:lineRule="auto"/>
        <w:ind w:firstLine="720"/>
        <w:jc w:val="both"/>
        <w:rPr>
          <w:lang w:val="nl-NL"/>
        </w:rPr>
      </w:pPr>
      <w:r w:rsidRPr="00C62BC1">
        <w:rPr>
          <w:iCs/>
          <w:lang w:val="nl-NL"/>
        </w:rPr>
        <w:t xml:space="preserve">- </w:t>
      </w:r>
      <w:r w:rsidRPr="00C62BC1">
        <w:rPr>
          <w:i/>
          <w:lang w:val="nl-NL"/>
        </w:rPr>
        <w:t>Nhóm văn hóa, giải trí và du lịch</w:t>
      </w:r>
      <w:r w:rsidRPr="00C62BC1">
        <w:rPr>
          <w:lang w:val="nl-NL"/>
        </w:rPr>
        <w:t xml:space="preserve"> tăng 0,01% chủ yếu do giá hoa, cây cảnh, vật cảnh tăng 1,26%; máy ảnh, máy quay video tăng 0,31%; vé thuê chỗ chơi thể thao</w:t>
      </w:r>
      <w:r w:rsidRPr="00C62BC1">
        <w:rPr>
          <w:lang w:val="vi-VN"/>
        </w:rPr>
        <w:t xml:space="preserve"> tăng 0,</w:t>
      </w:r>
      <w:r w:rsidRPr="00C62BC1">
        <w:rPr>
          <w:lang w:val="nl-NL"/>
        </w:rPr>
        <w:t>28</w:t>
      </w:r>
      <w:r w:rsidRPr="00C62BC1">
        <w:rPr>
          <w:lang w:val="vi-VN"/>
        </w:rPr>
        <w:t>%</w:t>
      </w:r>
      <w:r w:rsidRPr="00C62BC1">
        <w:rPr>
          <w:lang w:val="nl-NL"/>
        </w:rPr>
        <w:t>; dịch vụ văn hóa tăng 0,19%; đồ chơi tăng 0,13%; nhạc cụ tăng 0,12%. Ở chiều ngược lại, giá một số loại dịch vụ giảm, trong đó du lịch trọn gói giảm 0,38% do các công ty du lịch triển khai chương trình khuyến mại để kích cầu tiêu dùng; giá xem phim, ca nhạc giảm 0,16%.</w:t>
      </w:r>
    </w:p>
    <w:p w14:paraId="6B0829C2" w14:textId="77777777" w:rsidR="00EF7A8C" w:rsidRPr="00C62BC1" w:rsidRDefault="00EF7A8C" w:rsidP="00C62BC1">
      <w:pPr>
        <w:pStyle w:val="NormalWeb"/>
        <w:spacing w:before="0" w:beforeAutospacing="0" w:after="120" w:afterAutospacing="0" w:line="264" w:lineRule="auto"/>
        <w:ind w:firstLine="720"/>
        <w:jc w:val="both"/>
        <w:rPr>
          <w:iCs/>
          <w:sz w:val="28"/>
          <w:szCs w:val="28"/>
          <w:lang w:val="nl-NL"/>
        </w:rPr>
      </w:pPr>
      <w:r w:rsidRPr="00C62BC1">
        <w:rPr>
          <w:iCs/>
          <w:sz w:val="28"/>
          <w:szCs w:val="28"/>
          <w:lang w:val="nl-NL"/>
        </w:rPr>
        <w:t>(2) Hai nhóm hàng hóa và dịch vụ có chỉ số giá giảm gồm:</w:t>
      </w:r>
    </w:p>
    <w:p w14:paraId="3336DDFB" w14:textId="77777777" w:rsidR="00EF7A8C" w:rsidRPr="00C62BC1" w:rsidRDefault="00EF7A8C" w:rsidP="00C62BC1">
      <w:pPr>
        <w:pStyle w:val="NormalWeb"/>
        <w:spacing w:before="0" w:beforeAutospacing="0" w:after="120" w:afterAutospacing="0" w:line="264" w:lineRule="auto"/>
        <w:ind w:firstLine="720"/>
        <w:jc w:val="both"/>
        <w:rPr>
          <w:b/>
          <w:sz w:val="28"/>
          <w:szCs w:val="28"/>
        </w:rPr>
      </w:pPr>
      <w:r w:rsidRPr="00C62BC1">
        <w:rPr>
          <w:sz w:val="28"/>
          <w:szCs w:val="28"/>
          <w:lang w:val="nl-NL"/>
        </w:rPr>
        <w:t xml:space="preserve">- </w:t>
      </w:r>
      <w:r w:rsidRPr="00C62BC1">
        <w:rPr>
          <w:i/>
          <w:sz w:val="28"/>
          <w:szCs w:val="28"/>
        </w:rPr>
        <w:t>N</w:t>
      </w:r>
      <w:r w:rsidRPr="00C62BC1">
        <w:rPr>
          <w:i/>
          <w:sz w:val="28"/>
          <w:szCs w:val="28"/>
          <w:lang w:val="vi-VN"/>
        </w:rPr>
        <w:t xml:space="preserve">hóm </w:t>
      </w:r>
      <w:r w:rsidRPr="00C62BC1">
        <w:rPr>
          <w:i/>
          <w:sz w:val="28"/>
          <w:szCs w:val="28"/>
        </w:rPr>
        <w:t>thông tin và truyền</w:t>
      </w:r>
      <w:r w:rsidRPr="00C62BC1">
        <w:rPr>
          <w:i/>
          <w:sz w:val="28"/>
          <w:szCs w:val="28"/>
          <w:lang w:val="vi-VN"/>
        </w:rPr>
        <w:t xml:space="preserve"> thông</w:t>
      </w:r>
      <w:r w:rsidRPr="00C62BC1">
        <w:rPr>
          <w:sz w:val="28"/>
          <w:szCs w:val="28"/>
          <w:lang w:val="vi-VN"/>
        </w:rPr>
        <w:t xml:space="preserve"> </w:t>
      </w:r>
      <w:r w:rsidRPr="00C62BC1">
        <w:rPr>
          <w:sz w:val="28"/>
          <w:szCs w:val="28"/>
        </w:rPr>
        <w:t>giảm 0,06</w:t>
      </w:r>
      <w:r w:rsidRPr="00C62BC1">
        <w:rPr>
          <w:sz w:val="28"/>
          <w:szCs w:val="28"/>
          <w:lang w:val="vi-VN"/>
        </w:rPr>
        <w:t xml:space="preserve">%, </w:t>
      </w:r>
      <w:r w:rsidRPr="00C62BC1">
        <w:rPr>
          <w:sz w:val="28"/>
          <w:szCs w:val="28"/>
          <w:lang w:val="nl-NL"/>
        </w:rPr>
        <w:t>t</w:t>
      </w:r>
      <w:r w:rsidRPr="00C62BC1">
        <w:rPr>
          <w:sz w:val="28"/>
          <w:szCs w:val="28"/>
        </w:rPr>
        <w:t>rong đó, phụ kiện máy điện thoại giảm 0,48%; máy điện thoại di động thông minh và máy tính bảng giảm 0,34%; máy in, máy chiếu, máy quét giảm 0,06%; máy vi tính và phụ kiện giảm 0,01%.</w:t>
      </w:r>
    </w:p>
    <w:p w14:paraId="5AEEAC3D" w14:textId="77777777" w:rsidR="00EF7A8C" w:rsidRPr="00C62BC1" w:rsidRDefault="00EF7A8C" w:rsidP="00C62BC1">
      <w:pPr>
        <w:pStyle w:val="Normal1"/>
        <w:spacing w:before="0" w:beforeAutospacing="0" w:after="120" w:afterAutospacing="0" w:line="264" w:lineRule="auto"/>
        <w:ind w:firstLine="720"/>
        <w:jc w:val="both"/>
        <w:rPr>
          <w:rFonts w:ascii="Times New Roman" w:hAnsi="Times New Roman" w:cs="Times New Roman"/>
          <w:sz w:val="28"/>
          <w:szCs w:val="28"/>
        </w:rPr>
      </w:pPr>
      <w:r w:rsidRPr="00C62BC1">
        <w:rPr>
          <w:rFonts w:ascii="Times New Roman" w:hAnsi="Times New Roman" w:cs="Times New Roman"/>
          <w:iCs/>
          <w:sz w:val="28"/>
          <w:szCs w:val="28"/>
        </w:rPr>
        <w:t xml:space="preserve">- </w:t>
      </w:r>
      <w:r w:rsidRPr="00C62BC1">
        <w:rPr>
          <w:rFonts w:ascii="Times New Roman" w:hAnsi="Times New Roman" w:cs="Times New Roman"/>
          <w:i/>
          <w:sz w:val="28"/>
          <w:szCs w:val="28"/>
        </w:rPr>
        <w:t>Nhóm nhà ở, điện nước, chất đốt và vật liệu xây dựng</w:t>
      </w:r>
      <w:r w:rsidRPr="00C62BC1">
        <w:rPr>
          <w:rFonts w:ascii="Times New Roman" w:hAnsi="Times New Roman" w:cs="Times New Roman"/>
          <w:sz w:val="28"/>
          <w:szCs w:val="28"/>
        </w:rPr>
        <w:t xml:space="preserve"> giảm 0,10% chủ yếu do các nguyên nhân sau: </w:t>
      </w:r>
      <w:r w:rsidRPr="00C62BC1">
        <w:rPr>
          <w:rFonts w:ascii="Times New Roman" w:hAnsi="Times New Roman" w:cs="Times New Roman"/>
          <w:sz w:val="28"/>
          <w:szCs w:val="28"/>
          <w:lang w:val="nl-NL"/>
        </w:rPr>
        <w:t>Giá</w:t>
      </w:r>
      <w:r w:rsidRPr="00C62BC1">
        <w:rPr>
          <w:rFonts w:ascii="Times New Roman" w:hAnsi="Times New Roman" w:cs="Times New Roman"/>
          <w:sz w:val="28"/>
          <w:szCs w:val="28"/>
        </w:rPr>
        <w:t xml:space="preserve"> điện sinh hoạt giảm 1,53%; giá nước sinh hoạt giảm 0,34%</w:t>
      </w:r>
      <w:r w:rsidRPr="00C62BC1">
        <w:rPr>
          <w:rStyle w:val="FootnoteReference"/>
          <w:rFonts w:ascii="Times New Roman" w:hAnsi="Times New Roman" w:cs="Times New Roman"/>
          <w:sz w:val="28"/>
          <w:szCs w:val="28"/>
        </w:rPr>
        <w:footnoteReference w:id="29"/>
      </w:r>
      <w:r w:rsidRPr="00C62BC1">
        <w:rPr>
          <w:rFonts w:ascii="Times New Roman" w:hAnsi="Times New Roman" w:cs="Times New Roman"/>
          <w:sz w:val="28"/>
          <w:szCs w:val="28"/>
        </w:rPr>
        <w:t xml:space="preserve"> do thời tiết chuyển lạnh nên nhu cầu sử dụng giảm. Giá dịch vụ về điện sinh hoạt giảm 0,09%. G</w:t>
      </w:r>
      <w:r w:rsidRPr="00C62BC1">
        <w:rPr>
          <w:rFonts w:ascii="Times New Roman" w:hAnsi="Times New Roman" w:cs="Times New Roman"/>
          <w:sz w:val="28"/>
          <w:szCs w:val="28"/>
          <w:lang w:val="vi-VN"/>
        </w:rPr>
        <w:t xml:space="preserve">iá gas </w:t>
      </w:r>
      <w:r w:rsidRPr="00C62BC1">
        <w:rPr>
          <w:rFonts w:ascii="Times New Roman" w:hAnsi="Times New Roman" w:cs="Times New Roman"/>
          <w:sz w:val="28"/>
          <w:szCs w:val="28"/>
        </w:rPr>
        <w:t>giảm</w:t>
      </w:r>
      <w:r w:rsidRPr="00C62BC1">
        <w:rPr>
          <w:rFonts w:ascii="Times New Roman" w:hAnsi="Times New Roman" w:cs="Times New Roman"/>
          <w:sz w:val="28"/>
          <w:szCs w:val="28"/>
          <w:lang w:val="vi-VN"/>
        </w:rPr>
        <w:t xml:space="preserve"> </w:t>
      </w:r>
      <w:r w:rsidRPr="00C62BC1">
        <w:rPr>
          <w:rFonts w:ascii="Times New Roman" w:hAnsi="Times New Roman" w:cs="Times New Roman"/>
          <w:sz w:val="28"/>
          <w:szCs w:val="28"/>
        </w:rPr>
        <w:t>1,15</w:t>
      </w:r>
      <w:r w:rsidRPr="00C62BC1">
        <w:rPr>
          <w:rFonts w:ascii="Times New Roman" w:hAnsi="Times New Roman" w:cs="Times New Roman"/>
          <w:sz w:val="28"/>
          <w:szCs w:val="28"/>
          <w:lang w:val="vi-VN"/>
        </w:rPr>
        <w:t>%</w:t>
      </w:r>
      <w:r w:rsidRPr="00C62BC1">
        <w:rPr>
          <w:rFonts w:ascii="Times New Roman" w:hAnsi="Times New Roman" w:cs="Times New Roman"/>
          <w:sz w:val="28"/>
          <w:szCs w:val="28"/>
        </w:rPr>
        <w:t xml:space="preserve"> do</w:t>
      </w:r>
      <w:r w:rsidRPr="00C62BC1">
        <w:rPr>
          <w:rFonts w:ascii="Times New Roman" w:hAnsi="Times New Roman" w:cs="Times New Roman"/>
          <w:sz w:val="28"/>
          <w:szCs w:val="28"/>
          <w:lang w:val="vi-VN"/>
        </w:rPr>
        <w:t xml:space="preserve"> điều chỉnh </w:t>
      </w:r>
      <w:r w:rsidRPr="00C62BC1">
        <w:rPr>
          <w:rFonts w:ascii="Times New Roman" w:hAnsi="Times New Roman" w:cs="Times New Roman"/>
          <w:sz w:val="28"/>
          <w:szCs w:val="28"/>
        </w:rPr>
        <w:t>giảm</w:t>
      </w:r>
      <w:r w:rsidRPr="00C62BC1">
        <w:rPr>
          <w:rFonts w:ascii="Times New Roman" w:hAnsi="Times New Roman" w:cs="Times New Roman"/>
          <w:sz w:val="28"/>
          <w:szCs w:val="28"/>
          <w:lang w:val="vi-VN"/>
        </w:rPr>
        <w:t xml:space="preserve"> </w:t>
      </w:r>
      <w:r w:rsidRPr="00C62BC1">
        <w:rPr>
          <w:rFonts w:ascii="Times New Roman" w:hAnsi="Times New Roman" w:cs="Times New Roman"/>
          <w:sz w:val="28"/>
          <w:szCs w:val="28"/>
        </w:rPr>
        <w:t xml:space="preserve">theo giá gas thế giới </w:t>
      </w:r>
      <w:r w:rsidRPr="00C62BC1">
        <w:rPr>
          <w:rFonts w:ascii="Times New Roman" w:hAnsi="Times New Roman" w:cs="Times New Roman"/>
          <w:sz w:val="28"/>
          <w:szCs w:val="28"/>
          <w:lang w:val="vi-VN"/>
        </w:rPr>
        <w:t>từ ngày 01/</w:t>
      </w:r>
      <w:r w:rsidRPr="00C62BC1">
        <w:rPr>
          <w:rFonts w:ascii="Times New Roman" w:hAnsi="Times New Roman" w:cs="Times New Roman"/>
          <w:sz w:val="28"/>
          <w:szCs w:val="28"/>
        </w:rPr>
        <w:t>11</w:t>
      </w:r>
      <w:r w:rsidRPr="00C62BC1">
        <w:rPr>
          <w:rFonts w:ascii="Times New Roman" w:hAnsi="Times New Roman" w:cs="Times New Roman"/>
          <w:sz w:val="28"/>
          <w:szCs w:val="28"/>
          <w:lang w:val="vi-VN"/>
        </w:rPr>
        <w:t>/202</w:t>
      </w:r>
      <w:r w:rsidRPr="00C62BC1">
        <w:rPr>
          <w:rFonts w:ascii="Times New Roman" w:hAnsi="Times New Roman" w:cs="Times New Roman"/>
          <w:sz w:val="28"/>
          <w:szCs w:val="28"/>
        </w:rPr>
        <w:t>5</w:t>
      </w:r>
      <w:r w:rsidRPr="00C62BC1">
        <w:rPr>
          <w:rFonts w:ascii="Times New Roman" w:hAnsi="Times New Roman" w:cs="Times New Roman"/>
          <w:sz w:val="28"/>
          <w:szCs w:val="28"/>
          <w:lang w:val="vi-VN"/>
        </w:rPr>
        <w:t>.</w:t>
      </w:r>
      <w:r w:rsidRPr="00C62BC1">
        <w:rPr>
          <w:rFonts w:ascii="Times New Roman" w:hAnsi="Times New Roman" w:cs="Times New Roman"/>
          <w:sz w:val="28"/>
          <w:szCs w:val="28"/>
        </w:rPr>
        <w:t xml:space="preserve"> Ở chiều ngược lại, một số mặt hàng có giá tăng: </w:t>
      </w:r>
      <w:r w:rsidRPr="00C62BC1">
        <w:rPr>
          <w:rFonts w:ascii="Times New Roman" w:hAnsi="Times New Roman" w:cs="Times New Roman"/>
          <w:spacing w:val="-2"/>
          <w:sz w:val="28"/>
          <w:szCs w:val="28"/>
        </w:rPr>
        <w:t>Giá vật liệu bảo dưỡng nhà ở tăng 0,62%; g</w:t>
      </w:r>
      <w:r w:rsidRPr="00C62BC1">
        <w:rPr>
          <w:rFonts w:ascii="Times New Roman" w:hAnsi="Times New Roman" w:cs="Times New Roman"/>
          <w:sz w:val="28"/>
          <w:szCs w:val="28"/>
        </w:rPr>
        <w:t>iá thuê nhà tăng 0,31%; g</w:t>
      </w:r>
      <w:r w:rsidRPr="00C62BC1">
        <w:rPr>
          <w:rFonts w:ascii="Times New Roman" w:hAnsi="Times New Roman" w:cs="Times New Roman"/>
          <w:spacing w:val="-4"/>
          <w:sz w:val="28"/>
          <w:szCs w:val="28"/>
        </w:rPr>
        <w:t>iá dầu hỏa tăng 6,39%; g</w:t>
      </w:r>
      <w:r w:rsidRPr="00C62BC1">
        <w:rPr>
          <w:rFonts w:ascii="Times New Roman" w:hAnsi="Times New Roman" w:cs="Times New Roman"/>
          <w:spacing w:val="-2"/>
          <w:sz w:val="28"/>
          <w:szCs w:val="28"/>
        </w:rPr>
        <w:t>iá dịch vụ sửa chữa nhà ở tăng 0,48%.</w:t>
      </w:r>
    </w:p>
    <w:p w14:paraId="115299FF" w14:textId="77777777" w:rsidR="00EF7A8C" w:rsidRPr="00C62BC1" w:rsidRDefault="00EF7A8C" w:rsidP="00C62BC1">
      <w:pPr>
        <w:pStyle w:val="NormalWeb"/>
        <w:spacing w:before="0" w:beforeAutospacing="0" w:after="120" w:afterAutospacing="0" w:line="252" w:lineRule="auto"/>
        <w:ind w:firstLine="720"/>
        <w:jc w:val="both"/>
        <w:rPr>
          <w:sz w:val="28"/>
          <w:szCs w:val="28"/>
        </w:rPr>
      </w:pPr>
      <w:r w:rsidRPr="00C62BC1">
        <w:rPr>
          <w:rStyle w:val="normalchar"/>
          <w:i/>
          <w:sz w:val="28"/>
          <w:szCs w:val="28"/>
          <w:lang w:val="pl-PL"/>
        </w:rPr>
        <w:t>Lạm phát cơ bản</w:t>
      </w:r>
      <w:r w:rsidRPr="00C62BC1">
        <w:rPr>
          <w:rStyle w:val="FootnoteReference"/>
          <w:sz w:val="28"/>
          <w:szCs w:val="28"/>
        </w:rPr>
        <w:footnoteReference w:id="30"/>
      </w:r>
      <w:r w:rsidRPr="00C62BC1">
        <w:rPr>
          <w:rStyle w:val="normalchar"/>
          <w:sz w:val="28"/>
          <w:szCs w:val="28"/>
          <w:lang w:val="pl-PL"/>
        </w:rPr>
        <w:t xml:space="preserve"> </w:t>
      </w:r>
      <w:r w:rsidRPr="00C62BC1">
        <w:rPr>
          <w:sz w:val="28"/>
          <w:szCs w:val="28"/>
          <w:lang w:val="pl-PL"/>
        </w:rPr>
        <w:t xml:space="preserve">tháng Mười Một </w:t>
      </w:r>
      <w:r w:rsidRPr="00C62BC1">
        <w:rPr>
          <w:sz w:val="28"/>
          <w:szCs w:val="28"/>
          <w:lang w:val="vi-VN"/>
        </w:rPr>
        <w:t xml:space="preserve">tăng </w:t>
      </w:r>
      <w:r w:rsidRPr="00C62BC1">
        <w:rPr>
          <w:sz w:val="28"/>
          <w:szCs w:val="28"/>
          <w:lang w:val="pl-PL"/>
        </w:rPr>
        <w:t>0,23%</w:t>
      </w:r>
      <w:r w:rsidRPr="00C62BC1">
        <w:rPr>
          <w:sz w:val="28"/>
          <w:szCs w:val="28"/>
          <w:lang w:val="vi-VN"/>
        </w:rPr>
        <w:t xml:space="preserve"> so </w:t>
      </w:r>
      <w:r w:rsidRPr="00C62BC1">
        <w:rPr>
          <w:sz w:val="28"/>
          <w:szCs w:val="28"/>
          <w:lang w:val="pl-PL"/>
        </w:rPr>
        <w:t>với tháng trước và</w:t>
      </w:r>
      <w:r w:rsidRPr="00C62BC1">
        <w:rPr>
          <w:sz w:val="28"/>
          <w:szCs w:val="28"/>
          <w:lang w:val="vi-VN"/>
        </w:rPr>
        <w:t xml:space="preserve"> tăng </w:t>
      </w:r>
      <w:r w:rsidRPr="00C62BC1">
        <w:rPr>
          <w:sz w:val="28"/>
          <w:szCs w:val="28"/>
        </w:rPr>
        <w:t>3,28</w:t>
      </w:r>
      <w:r w:rsidRPr="00C62BC1">
        <w:rPr>
          <w:sz w:val="28"/>
          <w:szCs w:val="28"/>
          <w:lang w:val="pl-PL"/>
        </w:rPr>
        <w:t xml:space="preserve">% so với cùng kỳ năm trước. Bình quân mười một tháng năm 2025, lạm phát cơ bản tăng 3,21% so với cùng kỳ năm trước, thấp hơn mức tăng 3,29% của CPI bình quân chung, nguyên nhân chủ yếu do giá lương thực, thực phẩm, điện sinh </w:t>
      </w:r>
      <w:r w:rsidRPr="00C62BC1">
        <w:rPr>
          <w:sz w:val="28"/>
          <w:szCs w:val="28"/>
          <w:lang w:val="pl-PL"/>
        </w:rPr>
        <w:lastRenderedPageBreak/>
        <w:t>hoạt, giá dịch vụ y tế, dịch vụ giáo dục là yếu tố tác động làm tăng CPI nhưng thuộc nhóm hàng được loại trừ trong danh mục tính lạm phát cơ bản.</w:t>
      </w:r>
      <w:r w:rsidRPr="00C62BC1">
        <w:rPr>
          <w:sz w:val="28"/>
          <w:szCs w:val="28"/>
        </w:rPr>
        <w:t xml:space="preserve"> </w:t>
      </w:r>
    </w:p>
    <w:p w14:paraId="28EA8C74" w14:textId="77777777" w:rsidR="00EF7A8C" w:rsidRPr="00C62BC1" w:rsidRDefault="00EF7A8C" w:rsidP="00C62BC1">
      <w:pPr>
        <w:pStyle w:val="NormalWeb"/>
        <w:spacing w:before="0" w:beforeAutospacing="0" w:after="120" w:afterAutospacing="0" w:line="252" w:lineRule="auto"/>
        <w:ind w:firstLine="720"/>
        <w:jc w:val="both"/>
        <w:rPr>
          <w:sz w:val="28"/>
          <w:szCs w:val="28"/>
          <w:lang w:val="de-DE"/>
        </w:rPr>
      </w:pPr>
      <w:r w:rsidRPr="00C62BC1">
        <w:rPr>
          <w:sz w:val="28"/>
          <w:szCs w:val="28"/>
          <w:lang w:val="pt-BR"/>
        </w:rPr>
        <w:t>Giá vàng trong nước biến động cùng chiều với giá vàng thế giới. Tính đến</w:t>
      </w:r>
      <w:r w:rsidRPr="00C62BC1">
        <w:rPr>
          <w:sz w:val="28"/>
          <w:szCs w:val="28"/>
          <w:lang w:val="de-DE"/>
        </w:rPr>
        <w:t xml:space="preserve"> ngày 28/11/2025, giá vàng thế giới bình quân ở mức 4.109,63 USD/ounce, tăng 1,96% so với tháng trước. Giá vàng thế giới tiếp tục tăng so với tháng trước do kỳ vọng Cục Dự trữ Liên bang Mỹ (FED) sẽ tiếp tục nới lỏng chính sách tiền tệ trong giai đoạn cuối năm, cùng với nhu cầu tiêu thụ vàng vật chất bước vào mùa cao điểm lễ hội và mùa cưới tại châu Á. Bên cạnh đó, tâm lý lo ngại rủi ro leo thang khi tình hình xung đột địa chính trị tại một số khu vực bước vào giai đoạn căng thẳng mới, thúc đẩy nhu cầu trú ẩn an toàn vào kim loại quý. Trong nước, chỉ số giá vàng tháng Mười Một tăng 1,90% so với tháng trước; tăng 64,44% so với cùng kỳ năm trước; tăng 66,74% so với tháng 12/2024; bình quân mười một tháng năm 2025, chỉ số giá vàng tăng 45,77% so với cùng kỳ năm trước.</w:t>
      </w:r>
    </w:p>
    <w:p w14:paraId="491AF630" w14:textId="77777777" w:rsidR="00EF7A8C" w:rsidRPr="00C62BC1" w:rsidRDefault="00EF7A8C" w:rsidP="00C62BC1">
      <w:pPr>
        <w:spacing w:after="120" w:line="252" w:lineRule="auto"/>
        <w:ind w:firstLine="720"/>
        <w:jc w:val="both"/>
        <w:rPr>
          <w:spacing w:val="-4"/>
          <w:lang w:val="de-DE"/>
        </w:rPr>
      </w:pPr>
      <w:r w:rsidRPr="00C62BC1">
        <w:rPr>
          <w:spacing w:val="-4"/>
          <w:lang w:val="de-DE"/>
        </w:rPr>
        <w:t>Giá đô la Mỹ trong nước tháng Mười Một biến động ngược chiều với giá thế giới. Tính đến ngày 28/11/2025, chỉ số giá đô la Mỹ trên thị trường quốc tế đạt mức 99,64 điểm, tăng 1,20% so với tháng trước chủ yếu do nhu cầu trú ẩn an toàn vào đồng USD tăng cao trước các diễn biến xung đột địa chính trị khó lường. Trong nước, chỉ số giá đô la Mỹ tháng Mười Một giảm 0,11% so với tháng trước; tăng 3,60% so với cùng kỳ năm trước; tăng 3,51% so với tháng 12/2024; bình quân mười một tháng năm 2025, chỉ số giá đô la Mỹ tăng 3,94% so với cùng kỳ năm trước.</w:t>
      </w:r>
    </w:p>
    <w:p w14:paraId="7998C7D0" w14:textId="77777777" w:rsidR="00E17CFD" w:rsidRPr="00C62BC1" w:rsidRDefault="00E17CFD" w:rsidP="00C62BC1">
      <w:pPr>
        <w:spacing w:after="120" w:line="252" w:lineRule="auto"/>
        <w:ind w:firstLine="720"/>
        <w:jc w:val="both"/>
        <w:rPr>
          <w:b/>
          <w:bCs/>
          <w:lang w:val="de-DE"/>
        </w:rPr>
      </w:pPr>
      <w:r w:rsidRPr="00C62BC1">
        <w:rPr>
          <w:b/>
          <w:bCs/>
          <w:i/>
          <w:iCs/>
          <w:lang w:val="vi-VN"/>
        </w:rPr>
        <w:t>d) Vận tải hành khách và hàng hóa</w:t>
      </w:r>
    </w:p>
    <w:p w14:paraId="75366BE6" w14:textId="46B82783" w:rsidR="00E17CFD" w:rsidRPr="00C62BC1" w:rsidRDefault="00E17CFD" w:rsidP="00C62BC1">
      <w:pPr>
        <w:tabs>
          <w:tab w:val="left" w:pos="567"/>
        </w:tabs>
        <w:spacing w:after="120" w:line="252" w:lineRule="auto"/>
        <w:ind w:firstLine="720"/>
        <w:jc w:val="both"/>
        <w:rPr>
          <w:rFonts w:eastAsia="Calibri"/>
          <w:bCs/>
          <w:i/>
          <w:lang w:val="de-DE"/>
        </w:rPr>
      </w:pPr>
      <w:r w:rsidRPr="00C62BC1">
        <w:rPr>
          <w:rFonts w:eastAsia="Calibri"/>
          <w:bCs/>
          <w:i/>
          <w:lang w:val="de-DE"/>
        </w:rPr>
        <w:t xml:space="preserve">Trong tháng Mười Một, mặc dù chịu ảnh hưởng của thiên tai, lũ lụt tại một số địa phương, hoạt động vận tải </w:t>
      </w:r>
      <w:r w:rsidR="006D3476" w:rsidRPr="00C62BC1">
        <w:rPr>
          <w:rFonts w:eastAsia="Calibri"/>
          <w:bCs/>
          <w:i/>
          <w:lang w:val="de-DE"/>
        </w:rPr>
        <w:t xml:space="preserve">nhanh chóng khôi phục, </w:t>
      </w:r>
      <w:r w:rsidRPr="00C62BC1">
        <w:rPr>
          <w:rFonts w:eastAsia="Calibri"/>
          <w:bCs/>
          <w:i/>
          <w:lang w:val="de-DE"/>
        </w:rPr>
        <w:t>duy trì</w:t>
      </w:r>
      <w:r w:rsidR="006D3476" w:rsidRPr="00C62BC1">
        <w:rPr>
          <w:rFonts w:eastAsia="Calibri"/>
          <w:bCs/>
          <w:i/>
          <w:lang w:val="de-DE"/>
        </w:rPr>
        <w:t xml:space="preserve"> năng lực vận tải</w:t>
      </w:r>
      <w:r w:rsidRPr="00C62BC1">
        <w:rPr>
          <w:rFonts w:eastAsia="Calibri"/>
          <w:bCs/>
          <w:i/>
          <w:lang w:val="de-DE"/>
        </w:rPr>
        <w:t>, đáp ứng nhu cầu đi lại, du lịch của người dân trong nước cũng như khách quốc tế đến Việt Nam và phục vụ hiệu quả cho hoạt động sản xuất, xuất, nhập khẩu hàng hóa. So với cùng kỳ năm trước, vận tải hành khách</w:t>
      </w:r>
      <w:r w:rsidR="006D3476" w:rsidRPr="00C62BC1">
        <w:rPr>
          <w:rFonts w:eastAsia="Calibri"/>
          <w:bCs/>
          <w:i/>
          <w:lang w:val="de-DE"/>
        </w:rPr>
        <w:t xml:space="preserve"> của cả nước trong</w:t>
      </w:r>
      <w:r w:rsidRPr="00C62BC1">
        <w:rPr>
          <w:rFonts w:eastAsia="Calibri"/>
          <w:bCs/>
          <w:i/>
          <w:lang w:val="de-DE"/>
        </w:rPr>
        <w:t xml:space="preserve"> tháng Mười Một tăng 22,4% về vận chuyển và tăng 11,8% về luân chuyển; vận tải hàng hóa tăng 14,2% về vận chuyển và tăng 13,1% về luân chuyển. </w:t>
      </w:r>
    </w:p>
    <w:p w14:paraId="43D641C7" w14:textId="77777777" w:rsidR="00E17CFD" w:rsidRPr="00C62BC1" w:rsidRDefault="00E17CFD" w:rsidP="00C62BC1">
      <w:pPr>
        <w:tabs>
          <w:tab w:val="left" w:pos="567"/>
        </w:tabs>
        <w:spacing w:after="120" w:line="252" w:lineRule="auto"/>
        <w:ind w:firstLine="720"/>
        <w:jc w:val="both"/>
        <w:rPr>
          <w:rFonts w:eastAsia="Calibri"/>
          <w:i/>
          <w:lang w:val="de-DE"/>
        </w:rPr>
      </w:pPr>
      <w:r w:rsidRPr="00C62BC1">
        <w:rPr>
          <w:rFonts w:eastAsia="Calibri"/>
          <w:bCs/>
          <w:i/>
          <w:lang w:val="de-DE"/>
        </w:rPr>
        <w:t xml:space="preserve">Tính chung mười một tháng năm 2025, vận chuyển hành khách </w:t>
      </w:r>
      <w:r w:rsidRPr="00C62BC1">
        <w:rPr>
          <w:rFonts w:eastAsia="Calibri"/>
          <w:i/>
          <w:lang w:val="de-DE"/>
        </w:rPr>
        <w:t>tăng 22,4% và luân chuyển tăng 13,8% so với cùng kỳ năm trước; vận chuyển hàng hóa tăng 14,7% và luân chuyển tăng 14,0%.</w:t>
      </w:r>
    </w:p>
    <w:p w14:paraId="0DA64670" w14:textId="77777777" w:rsidR="00E17CFD" w:rsidRPr="00C62BC1" w:rsidRDefault="00E17CFD" w:rsidP="00C62BC1">
      <w:pPr>
        <w:spacing w:after="120" w:line="252" w:lineRule="auto"/>
        <w:ind w:firstLine="720"/>
        <w:jc w:val="both"/>
        <w:rPr>
          <w:spacing w:val="-2"/>
          <w:lang w:val="de-DE"/>
        </w:rPr>
      </w:pPr>
      <w:r w:rsidRPr="00C62BC1">
        <w:rPr>
          <w:i/>
          <w:spacing w:val="-2"/>
          <w:lang w:val="de-DE"/>
        </w:rPr>
        <w:t xml:space="preserve">Vận tải hành khách </w:t>
      </w:r>
      <w:r w:rsidRPr="00C62BC1">
        <w:rPr>
          <w:spacing w:val="-2"/>
          <w:lang w:val="de-DE"/>
        </w:rPr>
        <w:t xml:space="preserve">tháng Mười Một ước đạt 565,7 triệu lượt khách vận chuyển, tăng 1,9% so với tháng trước và luân chuyển 26,4 tỷ lượt khách.km, tăng 2,4%. Tính chung mười một tháng năm 2025, vận tải hành khách ước đạt 5.635,0 triệu lượt khách vận chuyển, tăng 22,4% so với cùng kỳ năm trước và luân chuyển đạt 285,5 tỷ lượt khách.km, tăng 13,8%. Trong đó, vận tải trong nước ước đạt 5.617,3 triệu lượt khách vận chuyển, tăng 22,4% so với cùng kỳ năm trước và 229,2 tỷ lượt khách.km luân chuyển, tăng 15,5%; vận tải ngoài nước ước đạt 17,7 triệu lượt khách vận chuyển, tăng 8,8% và 56,3 tỷ lượt khách.km luân chuyển, tăng 7,6%. </w:t>
      </w:r>
    </w:p>
    <w:p w14:paraId="3EE8F3AE" w14:textId="77777777" w:rsidR="00E17CFD" w:rsidRPr="00C62BC1" w:rsidRDefault="00E17CFD" w:rsidP="00E17CFD">
      <w:pPr>
        <w:tabs>
          <w:tab w:val="left" w:pos="567"/>
        </w:tabs>
        <w:spacing w:before="120" w:after="240"/>
        <w:jc w:val="center"/>
        <w:rPr>
          <w:rFonts w:ascii="Arial" w:hAnsi="Arial" w:cs="Arial"/>
          <w:b/>
          <w:bCs/>
          <w:sz w:val="24"/>
          <w:szCs w:val="24"/>
          <w:lang w:val="de-DE"/>
        </w:rPr>
      </w:pPr>
      <w:r w:rsidRPr="00C62BC1">
        <w:rPr>
          <w:rFonts w:ascii="Arial" w:hAnsi="Arial" w:cs="Arial"/>
          <w:b/>
          <w:spacing w:val="-2"/>
          <w:sz w:val="24"/>
          <w:szCs w:val="20"/>
          <w:lang w:val="de-DE"/>
        </w:rPr>
        <w:lastRenderedPageBreak/>
        <w:t xml:space="preserve">Biểu 6. </w:t>
      </w:r>
      <w:r w:rsidRPr="00C62BC1">
        <w:rPr>
          <w:rFonts w:ascii="Arial" w:hAnsi="Arial" w:cs="Arial"/>
          <w:b/>
          <w:bCs/>
          <w:sz w:val="24"/>
          <w:szCs w:val="24"/>
          <w:lang w:val="de-DE"/>
        </w:rPr>
        <w:t>Vận tải hành khách mười một tháng năm 2025 phân theo ngành vận tải</w:t>
      </w:r>
    </w:p>
    <w:tbl>
      <w:tblPr>
        <w:tblW w:w="9092" w:type="dxa"/>
        <w:jc w:val="center"/>
        <w:tblLook w:val="04A0" w:firstRow="1" w:lastRow="0" w:firstColumn="1" w:lastColumn="0" w:noHBand="0" w:noVBand="1"/>
      </w:tblPr>
      <w:tblGrid>
        <w:gridCol w:w="2191"/>
        <w:gridCol w:w="1794"/>
        <w:gridCol w:w="1859"/>
        <w:gridCol w:w="1758"/>
        <w:gridCol w:w="1490"/>
      </w:tblGrid>
      <w:tr w:rsidR="00951742" w:rsidRPr="00C62BC1" w14:paraId="46BD38ED" w14:textId="77777777" w:rsidTr="00480E99">
        <w:trPr>
          <w:trHeight w:val="436"/>
          <w:tblHeader/>
          <w:jc w:val="center"/>
        </w:trPr>
        <w:tc>
          <w:tcPr>
            <w:tcW w:w="2191" w:type="dxa"/>
            <w:tcBorders>
              <w:top w:val="single" w:sz="4" w:space="0" w:color="auto"/>
              <w:left w:val="nil"/>
              <w:bottom w:val="nil"/>
              <w:right w:val="nil"/>
            </w:tcBorders>
            <w:vAlign w:val="center"/>
            <w:hideMark/>
          </w:tcPr>
          <w:p w14:paraId="09D92E82" w14:textId="77777777" w:rsidR="00E17CFD" w:rsidRPr="00C62BC1" w:rsidRDefault="00E17CFD" w:rsidP="00AE2668">
            <w:pPr>
              <w:rPr>
                <w:rFonts w:ascii="Arial" w:hAnsi="Arial" w:cs="Arial"/>
                <w:b/>
                <w:bCs/>
                <w:sz w:val="24"/>
                <w:szCs w:val="24"/>
                <w:lang w:val="de-DE"/>
              </w:rPr>
            </w:pPr>
          </w:p>
        </w:tc>
        <w:tc>
          <w:tcPr>
            <w:tcW w:w="3653" w:type="dxa"/>
            <w:gridSpan w:val="2"/>
            <w:tcBorders>
              <w:top w:val="single" w:sz="4" w:space="0" w:color="auto"/>
              <w:left w:val="nil"/>
              <w:bottom w:val="single" w:sz="4" w:space="0" w:color="auto"/>
              <w:right w:val="nil"/>
            </w:tcBorders>
            <w:vAlign w:val="center"/>
            <w:hideMark/>
          </w:tcPr>
          <w:p w14:paraId="6BD9F1F6" w14:textId="77777777" w:rsidR="00E17CFD" w:rsidRPr="00C62BC1" w:rsidRDefault="00E17CFD" w:rsidP="00AE2668">
            <w:pPr>
              <w:jc w:val="center"/>
              <w:rPr>
                <w:rFonts w:ascii="Arial" w:hAnsi="Arial" w:cs="Arial"/>
                <w:sz w:val="20"/>
                <w:szCs w:val="20"/>
                <w:lang w:eastAsia="vi-VN"/>
              </w:rPr>
            </w:pPr>
            <w:r w:rsidRPr="00C62BC1">
              <w:rPr>
                <w:rFonts w:ascii="Arial" w:hAnsi="Arial" w:cs="Arial"/>
                <w:sz w:val="20"/>
                <w:szCs w:val="20"/>
                <w:lang w:eastAsia="vi-VN"/>
              </w:rPr>
              <w:t>Số lượt hành khách</w:t>
            </w:r>
          </w:p>
        </w:tc>
        <w:tc>
          <w:tcPr>
            <w:tcW w:w="3248" w:type="dxa"/>
            <w:gridSpan w:val="2"/>
            <w:tcBorders>
              <w:top w:val="single" w:sz="4" w:space="0" w:color="auto"/>
              <w:left w:val="nil"/>
              <w:bottom w:val="single" w:sz="4" w:space="0" w:color="auto"/>
              <w:right w:val="nil"/>
            </w:tcBorders>
            <w:vAlign w:val="center"/>
            <w:hideMark/>
          </w:tcPr>
          <w:p w14:paraId="2324682D" w14:textId="77777777" w:rsidR="00E17CFD" w:rsidRPr="00C62BC1" w:rsidRDefault="00E17CFD" w:rsidP="00AE2668">
            <w:pPr>
              <w:jc w:val="center"/>
              <w:rPr>
                <w:rFonts w:ascii="Arial" w:hAnsi="Arial" w:cs="Arial"/>
                <w:sz w:val="20"/>
                <w:szCs w:val="20"/>
                <w:lang w:eastAsia="vi-VN"/>
              </w:rPr>
            </w:pPr>
            <w:r w:rsidRPr="00C62BC1">
              <w:rPr>
                <w:rFonts w:ascii="Arial" w:hAnsi="Arial" w:cs="Arial"/>
                <w:sz w:val="20"/>
                <w:szCs w:val="20"/>
                <w:lang w:eastAsia="vi-VN"/>
              </w:rPr>
              <w:t>Tốc độ tăng/giảm so với</w:t>
            </w:r>
            <w:r w:rsidRPr="00C62BC1">
              <w:rPr>
                <w:rFonts w:ascii="Arial" w:hAnsi="Arial" w:cs="Arial"/>
                <w:sz w:val="20"/>
                <w:szCs w:val="20"/>
                <w:lang w:eastAsia="vi-VN"/>
              </w:rPr>
              <w:br/>
              <w:t>cùng kỳ năm trước (%)</w:t>
            </w:r>
          </w:p>
        </w:tc>
      </w:tr>
      <w:tr w:rsidR="00951742" w:rsidRPr="00C62BC1" w14:paraId="3CF1FBDE" w14:textId="77777777" w:rsidTr="00480E99">
        <w:trPr>
          <w:trHeight w:val="426"/>
          <w:tblHeader/>
          <w:jc w:val="center"/>
        </w:trPr>
        <w:tc>
          <w:tcPr>
            <w:tcW w:w="2191" w:type="dxa"/>
            <w:vAlign w:val="center"/>
            <w:hideMark/>
          </w:tcPr>
          <w:p w14:paraId="643DA6E0" w14:textId="77777777" w:rsidR="00E17CFD" w:rsidRPr="00C62BC1" w:rsidRDefault="00E17CFD" w:rsidP="00AE2668">
            <w:pPr>
              <w:rPr>
                <w:rFonts w:ascii="Arial" w:hAnsi="Arial" w:cs="Arial"/>
                <w:sz w:val="20"/>
                <w:szCs w:val="20"/>
                <w:lang w:eastAsia="vi-VN"/>
              </w:rPr>
            </w:pPr>
          </w:p>
        </w:tc>
        <w:tc>
          <w:tcPr>
            <w:tcW w:w="1794" w:type="dxa"/>
            <w:tcBorders>
              <w:top w:val="single" w:sz="4" w:space="0" w:color="auto"/>
              <w:left w:val="nil"/>
              <w:bottom w:val="single" w:sz="4" w:space="0" w:color="auto"/>
              <w:right w:val="nil"/>
            </w:tcBorders>
            <w:vAlign w:val="center"/>
            <w:hideMark/>
          </w:tcPr>
          <w:p w14:paraId="2C37C3DB" w14:textId="77777777" w:rsidR="00E17CFD" w:rsidRPr="00C62BC1" w:rsidRDefault="00E17CFD" w:rsidP="00AE2668">
            <w:pPr>
              <w:jc w:val="center"/>
              <w:rPr>
                <w:rFonts w:ascii="Arial" w:hAnsi="Arial" w:cs="Arial"/>
                <w:sz w:val="20"/>
                <w:szCs w:val="20"/>
                <w:lang w:eastAsia="vi-VN"/>
              </w:rPr>
            </w:pPr>
            <w:r w:rsidRPr="00C62BC1">
              <w:rPr>
                <w:rFonts w:ascii="Arial" w:hAnsi="Arial" w:cs="Arial"/>
                <w:sz w:val="20"/>
                <w:szCs w:val="20"/>
                <w:lang w:eastAsia="vi-VN"/>
              </w:rPr>
              <w:t>Vận chuyển</w:t>
            </w:r>
            <w:r w:rsidRPr="00C62BC1">
              <w:rPr>
                <w:rFonts w:ascii="Arial" w:hAnsi="Arial" w:cs="Arial"/>
                <w:sz w:val="20"/>
                <w:szCs w:val="20"/>
                <w:lang w:eastAsia="vi-VN"/>
              </w:rPr>
              <w:br/>
              <w:t>(Triệu HK)</w:t>
            </w:r>
          </w:p>
        </w:tc>
        <w:tc>
          <w:tcPr>
            <w:tcW w:w="1859" w:type="dxa"/>
            <w:tcBorders>
              <w:top w:val="single" w:sz="4" w:space="0" w:color="auto"/>
              <w:left w:val="nil"/>
              <w:bottom w:val="single" w:sz="4" w:space="0" w:color="auto"/>
              <w:right w:val="nil"/>
            </w:tcBorders>
            <w:vAlign w:val="center"/>
            <w:hideMark/>
          </w:tcPr>
          <w:p w14:paraId="72617249" w14:textId="77777777" w:rsidR="00E17CFD" w:rsidRPr="00C62BC1" w:rsidRDefault="00E17CFD" w:rsidP="00AE2668">
            <w:pPr>
              <w:jc w:val="center"/>
              <w:rPr>
                <w:rFonts w:ascii="Arial" w:hAnsi="Arial" w:cs="Arial"/>
                <w:sz w:val="20"/>
                <w:szCs w:val="20"/>
                <w:lang w:eastAsia="vi-VN"/>
              </w:rPr>
            </w:pPr>
            <w:r w:rsidRPr="00C62BC1">
              <w:rPr>
                <w:rFonts w:ascii="Arial" w:hAnsi="Arial" w:cs="Arial"/>
                <w:sz w:val="20"/>
                <w:szCs w:val="20"/>
                <w:lang w:eastAsia="vi-VN"/>
              </w:rPr>
              <w:t>Luân chuyển</w:t>
            </w:r>
            <w:r w:rsidRPr="00C62BC1">
              <w:rPr>
                <w:rFonts w:ascii="Arial" w:hAnsi="Arial" w:cs="Arial"/>
                <w:sz w:val="20"/>
                <w:szCs w:val="20"/>
                <w:lang w:eastAsia="vi-VN"/>
              </w:rPr>
              <w:br/>
              <w:t>(Tỷ HK.km)</w:t>
            </w:r>
          </w:p>
        </w:tc>
        <w:tc>
          <w:tcPr>
            <w:tcW w:w="1758" w:type="dxa"/>
            <w:tcBorders>
              <w:top w:val="single" w:sz="4" w:space="0" w:color="auto"/>
              <w:left w:val="nil"/>
              <w:bottom w:val="single" w:sz="4" w:space="0" w:color="auto"/>
              <w:right w:val="nil"/>
            </w:tcBorders>
            <w:vAlign w:val="center"/>
            <w:hideMark/>
          </w:tcPr>
          <w:p w14:paraId="1F6A5089" w14:textId="77777777" w:rsidR="00E17CFD" w:rsidRPr="00C62BC1" w:rsidRDefault="00E17CFD" w:rsidP="00AE2668">
            <w:pPr>
              <w:jc w:val="center"/>
              <w:rPr>
                <w:rFonts w:ascii="Arial" w:hAnsi="Arial" w:cs="Arial"/>
                <w:sz w:val="20"/>
                <w:szCs w:val="20"/>
                <w:lang w:eastAsia="vi-VN"/>
              </w:rPr>
            </w:pPr>
            <w:r w:rsidRPr="00C62BC1">
              <w:rPr>
                <w:rFonts w:ascii="Arial" w:hAnsi="Arial" w:cs="Arial"/>
                <w:sz w:val="20"/>
                <w:szCs w:val="20"/>
                <w:lang w:eastAsia="vi-VN"/>
              </w:rPr>
              <w:t>Vận chuyển</w:t>
            </w:r>
          </w:p>
        </w:tc>
        <w:tc>
          <w:tcPr>
            <w:tcW w:w="1490" w:type="dxa"/>
            <w:tcBorders>
              <w:top w:val="single" w:sz="4" w:space="0" w:color="auto"/>
              <w:left w:val="nil"/>
              <w:bottom w:val="single" w:sz="4" w:space="0" w:color="auto"/>
              <w:right w:val="nil"/>
            </w:tcBorders>
            <w:vAlign w:val="center"/>
            <w:hideMark/>
          </w:tcPr>
          <w:p w14:paraId="4CA04E8B" w14:textId="77777777" w:rsidR="00E17CFD" w:rsidRPr="00C62BC1" w:rsidRDefault="00E17CFD" w:rsidP="00AE2668">
            <w:pPr>
              <w:jc w:val="center"/>
              <w:rPr>
                <w:rFonts w:ascii="Arial" w:hAnsi="Arial" w:cs="Arial"/>
                <w:sz w:val="20"/>
                <w:szCs w:val="20"/>
                <w:lang w:eastAsia="vi-VN"/>
              </w:rPr>
            </w:pPr>
            <w:r w:rsidRPr="00C62BC1">
              <w:rPr>
                <w:rFonts w:ascii="Arial" w:hAnsi="Arial" w:cs="Arial"/>
                <w:sz w:val="20"/>
                <w:szCs w:val="20"/>
                <w:lang w:eastAsia="vi-VN"/>
              </w:rPr>
              <w:t>Luân chuyển</w:t>
            </w:r>
          </w:p>
        </w:tc>
      </w:tr>
      <w:tr w:rsidR="00951742" w:rsidRPr="00C62BC1" w14:paraId="37808331" w14:textId="77777777" w:rsidTr="00480E99">
        <w:trPr>
          <w:trHeight w:val="385"/>
          <w:jc w:val="center"/>
        </w:trPr>
        <w:tc>
          <w:tcPr>
            <w:tcW w:w="2191" w:type="dxa"/>
            <w:noWrap/>
            <w:vAlign w:val="center"/>
            <w:hideMark/>
          </w:tcPr>
          <w:p w14:paraId="2A585788" w14:textId="77777777" w:rsidR="00E17CFD" w:rsidRPr="00C62BC1" w:rsidRDefault="00E17CFD" w:rsidP="00AE2668">
            <w:pPr>
              <w:rPr>
                <w:rFonts w:ascii="Arial" w:hAnsi="Arial" w:cs="Arial"/>
                <w:b/>
                <w:bCs/>
                <w:sz w:val="20"/>
                <w:szCs w:val="20"/>
                <w:lang w:eastAsia="vi-VN"/>
              </w:rPr>
            </w:pPr>
            <w:r w:rsidRPr="00C62BC1">
              <w:rPr>
                <w:rFonts w:ascii="Arial" w:hAnsi="Arial" w:cs="Arial"/>
                <w:b/>
                <w:bCs/>
                <w:sz w:val="20"/>
                <w:szCs w:val="20"/>
                <w:lang w:eastAsia="vi-VN"/>
              </w:rPr>
              <w:t>Tổng số</w:t>
            </w:r>
          </w:p>
        </w:tc>
        <w:tc>
          <w:tcPr>
            <w:tcW w:w="1794" w:type="dxa"/>
            <w:tcBorders>
              <w:top w:val="single" w:sz="4" w:space="0" w:color="auto"/>
              <w:left w:val="nil"/>
              <w:bottom w:val="nil"/>
              <w:right w:val="nil"/>
            </w:tcBorders>
            <w:noWrap/>
            <w:vAlign w:val="center"/>
            <w:hideMark/>
          </w:tcPr>
          <w:p w14:paraId="1A22B4C1" w14:textId="77777777" w:rsidR="00E17CFD" w:rsidRPr="00C62BC1" w:rsidRDefault="00E17CFD" w:rsidP="00AE2668">
            <w:pPr>
              <w:ind w:right="394"/>
              <w:jc w:val="right"/>
              <w:rPr>
                <w:rFonts w:ascii="Arial" w:hAnsi="Arial" w:cs="Arial"/>
                <w:b/>
                <w:bCs/>
                <w:sz w:val="20"/>
                <w:szCs w:val="20"/>
              </w:rPr>
            </w:pPr>
            <w:r w:rsidRPr="00C62BC1">
              <w:rPr>
                <w:rFonts w:ascii="Arial" w:hAnsi="Arial" w:cs="Arial"/>
                <w:b/>
                <w:bCs/>
                <w:sz w:val="20"/>
                <w:szCs w:val="20"/>
              </w:rPr>
              <w:t>5.635,0</w:t>
            </w:r>
          </w:p>
        </w:tc>
        <w:tc>
          <w:tcPr>
            <w:tcW w:w="1859" w:type="dxa"/>
            <w:tcBorders>
              <w:top w:val="single" w:sz="4" w:space="0" w:color="auto"/>
              <w:left w:val="nil"/>
              <w:bottom w:val="nil"/>
              <w:right w:val="nil"/>
            </w:tcBorders>
            <w:noWrap/>
            <w:vAlign w:val="center"/>
            <w:hideMark/>
          </w:tcPr>
          <w:p w14:paraId="407D1A5E" w14:textId="77777777" w:rsidR="00E17CFD" w:rsidRPr="00C62BC1" w:rsidRDefault="00E17CFD" w:rsidP="00AE2668">
            <w:pPr>
              <w:ind w:right="579"/>
              <w:jc w:val="right"/>
              <w:rPr>
                <w:rFonts w:ascii="Arial" w:hAnsi="Arial" w:cs="Arial"/>
                <w:b/>
                <w:bCs/>
                <w:sz w:val="20"/>
                <w:szCs w:val="20"/>
              </w:rPr>
            </w:pPr>
            <w:r w:rsidRPr="00C62BC1">
              <w:rPr>
                <w:rFonts w:ascii="Arial" w:hAnsi="Arial" w:cs="Arial"/>
                <w:b/>
                <w:bCs/>
                <w:sz w:val="20"/>
                <w:szCs w:val="20"/>
              </w:rPr>
              <w:t>285,5</w:t>
            </w:r>
          </w:p>
        </w:tc>
        <w:tc>
          <w:tcPr>
            <w:tcW w:w="1758" w:type="dxa"/>
            <w:tcBorders>
              <w:top w:val="single" w:sz="4" w:space="0" w:color="auto"/>
              <w:left w:val="nil"/>
              <w:bottom w:val="nil"/>
              <w:right w:val="nil"/>
            </w:tcBorders>
            <w:noWrap/>
            <w:vAlign w:val="center"/>
            <w:hideMark/>
          </w:tcPr>
          <w:p w14:paraId="1A696237" w14:textId="77777777" w:rsidR="00E17CFD" w:rsidRPr="00C62BC1" w:rsidRDefault="00E17CFD" w:rsidP="00AE2668">
            <w:pPr>
              <w:ind w:right="520"/>
              <w:jc w:val="right"/>
              <w:rPr>
                <w:rFonts w:ascii="Arial" w:hAnsi="Arial" w:cs="Arial"/>
                <w:b/>
                <w:bCs/>
                <w:sz w:val="20"/>
                <w:szCs w:val="20"/>
              </w:rPr>
            </w:pPr>
            <w:r w:rsidRPr="00C62BC1">
              <w:rPr>
                <w:rFonts w:ascii="Arial" w:hAnsi="Arial" w:cs="Arial"/>
                <w:b/>
                <w:bCs/>
                <w:sz w:val="20"/>
                <w:szCs w:val="20"/>
              </w:rPr>
              <w:t>22,4</w:t>
            </w:r>
          </w:p>
        </w:tc>
        <w:tc>
          <w:tcPr>
            <w:tcW w:w="1490" w:type="dxa"/>
            <w:tcBorders>
              <w:top w:val="single" w:sz="4" w:space="0" w:color="auto"/>
              <w:left w:val="nil"/>
              <w:bottom w:val="nil"/>
              <w:right w:val="nil"/>
            </w:tcBorders>
            <w:noWrap/>
            <w:vAlign w:val="center"/>
            <w:hideMark/>
          </w:tcPr>
          <w:p w14:paraId="57E99831" w14:textId="77777777" w:rsidR="00E17CFD" w:rsidRPr="00C62BC1" w:rsidRDefault="00E17CFD" w:rsidP="00AE2668">
            <w:pPr>
              <w:ind w:right="322"/>
              <w:jc w:val="right"/>
              <w:rPr>
                <w:rFonts w:ascii="Arial" w:hAnsi="Arial" w:cs="Arial"/>
                <w:b/>
                <w:bCs/>
                <w:sz w:val="20"/>
                <w:szCs w:val="20"/>
              </w:rPr>
            </w:pPr>
            <w:r w:rsidRPr="00C62BC1">
              <w:rPr>
                <w:rFonts w:ascii="Arial" w:hAnsi="Arial" w:cs="Arial"/>
                <w:b/>
                <w:bCs/>
                <w:sz w:val="20"/>
                <w:szCs w:val="20"/>
              </w:rPr>
              <w:t>13,8</w:t>
            </w:r>
          </w:p>
        </w:tc>
      </w:tr>
      <w:tr w:rsidR="00951742" w:rsidRPr="00C62BC1" w14:paraId="720A8DEE" w14:textId="77777777" w:rsidTr="00480E99">
        <w:trPr>
          <w:trHeight w:val="323"/>
          <w:jc w:val="center"/>
        </w:trPr>
        <w:tc>
          <w:tcPr>
            <w:tcW w:w="2191" w:type="dxa"/>
            <w:noWrap/>
            <w:vAlign w:val="center"/>
            <w:hideMark/>
          </w:tcPr>
          <w:p w14:paraId="5835BE26" w14:textId="77777777" w:rsidR="00E17CFD" w:rsidRPr="00C62BC1" w:rsidRDefault="00E17CFD" w:rsidP="00AE2668">
            <w:pPr>
              <w:tabs>
                <w:tab w:val="left" w:pos="407"/>
              </w:tabs>
              <w:ind w:firstLine="182"/>
              <w:rPr>
                <w:rFonts w:ascii="Arial" w:hAnsi="Arial" w:cs="Arial"/>
                <w:sz w:val="20"/>
                <w:szCs w:val="20"/>
                <w:lang w:eastAsia="vi-VN"/>
              </w:rPr>
            </w:pPr>
            <w:r w:rsidRPr="00C62BC1">
              <w:rPr>
                <w:rFonts w:ascii="Arial" w:hAnsi="Arial" w:cs="Arial"/>
                <w:sz w:val="20"/>
                <w:szCs w:val="20"/>
                <w:lang w:eastAsia="vi-VN"/>
              </w:rPr>
              <w:t>Đường sắt</w:t>
            </w:r>
            <w:r w:rsidRPr="00C62BC1">
              <w:rPr>
                <w:rFonts w:ascii="Arial" w:hAnsi="Arial"/>
                <w:sz w:val="20"/>
                <w:szCs w:val="20"/>
                <w:vertAlign w:val="superscript"/>
                <w:lang w:eastAsia="vi-VN"/>
              </w:rPr>
              <w:footnoteReference w:id="31"/>
            </w:r>
          </w:p>
        </w:tc>
        <w:tc>
          <w:tcPr>
            <w:tcW w:w="1794" w:type="dxa"/>
            <w:noWrap/>
            <w:vAlign w:val="center"/>
            <w:hideMark/>
          </w:tcPr>
          <w:p w14:paraId="20CC9F5C" w14:textId="77777777" w:rsidR="00E17CFD" w:rsidRPr="00C62BC1" w:rsidRDefault="00E17CFD" w:rsidP="00AE2668">
            <w:pPr>
              <w:ind w:right="394"/>
              <w:jc w:val="right"/>
              <w:rPr>
                <w:rFonts w:ascii="Arial" w:hAnsi="Arial" w:cs="Arial"/>
                <w:sz w:val="20"/>
                <w:szCs w:val="20"/>
              </w:rPr>
            </w:pPr>
            <w:r w:rsidRPr="00C62BC1">
              <w:rPr>
                <w:rFonts w:ascii="Arial" w:hAnsi="Arial" w:cs="Arial"/>
                <w:sz w:val="20"/>
                <w:szCs w:val="20"/>
              </w:rPr>
              <w:t>37,0</w:t>
            </w:r>
          </w:p>
        </w:tc>
        <w:tc>
          <w:tcPr>
            <w:tcW w:w="1859" w:type="dxa"/>
            <w:noWrap/>
            <w:vAlign w:val="center"/>
            <w:hideMark/>
          </w:tcPr>
          <w:p w14:paraId="650A40F2" w14:textId="77777777" w:rsidR="00E17CFD" w:rsidRPr="00C62BC1" w:rsidRDefault="00E17CFD" w:rsidP="00AE2668">
            <w:pPr>
              <w:ind w:right="579"/>
              <w:jc w:val="right"/>
              <w:rPr>
                <w:rFonts w:ascii="Arial" w:hAnsi="Arial" w:cs="Arial"/>
                <w:sz w:val="20"/>
                <w:szCs w:val="20"/>
              </w:rPr>
            </w:pPr>
            <w:r w:rsidRPr="00C62BC1">
              <w:rPr>
                <w:rFonts w:ascii="Arial" w:hAnsi="Arial" w:cs="Arial"/>
                <w:sz w:val="20"/>
                <w:szCs w:val="20"/>
              </w:rPr>
              <w:t>3,1</w:t>
            </w:r>
          </w:p>
        </w:tc>
        <w:tc>
          <w:tcPr>
            <w:tcW w:w="1758" w:type="dxa"/>
            <w:noWrap/>
            <w:vAlign w:val="center"/>
            <w:hideMark/>
          </w:tcPr>
          <w:p w14:paraId="556A6A6A" w14:textId="77777777" w:rsidR="00E17CFD" w:rsidRPr="00C62BC1" w:rsidRDefault="00E17CFD" w:rsidP="00AE2668">
            <w:pPr>
              <w:ind w:right="520"/>
              <w:jc w:val="right"/>
              <w:rPr>
                <w:rFonts w:ascii="Arial" w:hAnsi="Arial" w:cs="Arial"/>
                <w:sz w:val="20"/>
                <w:szCs w:val="20"/>
              </w:rPr>
            </w:pPr>
            <w:r w:rsidRPr="00C62BC1">
              <w:rPr>
                <w:rFonts w:ascii="Arial" w:hAnsi="Arial" w:cs="Arial"/>
                <w:sz w:val="20"/>
                <w:szCs w:val="20"/>
              </w:rPr>
              <w:t>106,5</w:t>
            </w:r>
          </w:p>
        </w:tc>
        <w:tc>
          <w:tcPr>
            <w:tcW w:w="1490" w:type="dxa"/>
            <w:noWrap/>
            <w:vAlign w:val="center"/>
            <w:hideMark/>
          </w:tcPr>
          <w:p w14:paraId="6E8150ED" w14:textId="77777777" w:rsidR="00E17CFD" w:rsidRPr="00C62BC1" w:rsidRDefault="00E17CFD" w:rsidP="00AE2668">
            <w:pPr>
              <w:ind w:right="322"/>
              <w:jc w:val="right"/>
              <w:rPr>
                <w:rFonts w:ascii="Arial" w:hAnsi="Arial" w:cs="Arial"/>
                <w:sz w:val="20"/>
                <w:szCs w:val="20"/>
              </w:rPr>
            </w:pPr>
            <w:r w:rsidRPr="00C62BC1">
              <w:rPr>
                <w:rFonts w:ascii="Arial" w:hAnsi="Arial" w:cs="Arial"/>
                <w:sz w:val="20"/>
                <w:szCs w:val="20"/>
              </w:rPr>
              <w:t>13,4</w:t>
            </w:r>
          </w:p>
        </w:tc>
      </w:tr>
      <w:tr w:rsidR="00951742" w:rsidRPr="00C62BC1" w14:paraId="08E783B1" w14:textId="77777777" w:rsidTr="00480E99">
        <w:trPr>
          <w:trHeight w:val="323"/>
          <w:jc w:val="center"/>
        </w:trPr>
        <w:tc>
          <w:tcPr>
            <w:tcW w:w="2191" w:type="dxa"/>
            <w:noWrap/>
            <w:vAlign w:val="center"/>
            <w:hideMark/>
          </w:tcPr>
          <w:p w14:paraId="19F3CACA" w14:textId="77777777" w:rsidR="00E17CFD" w:rsidRPr="00C62BC1" w:rsidRDefault="00E17CFD" w:rsidP="00AE2668">
            <w:pPr>
              <w:tabs>
                <w:tab w:val="left" w:pos="407"/>
              </w:tabs>
              <w:ind w:firstLine="182"/>
              <w:rPr>
                <w:rFonts w:ascii="Arial" w:hAnsi="Arial" w:cs="Arial"/>
                <w:sz w:val="20"/>
                <w:szCs w:val="20"/>
                <w:lang w:eastAsia="vi-VN"/>
              </w:rPr>
            </w:pPr>
            <w:r w:rsidRPr="00C62BC1">
              <w:rPr>
                <w:rFonts w:ascii="Arial" w:hAnsi="Arial" w:cs="Arial"/>
                <w:sz w:val="20"/>
                <w:szCs w:val="20"/>
                <w:lang w:eastAsia="vi-VN"/>
              </w:rPr>
              <w:t>Đường biển</w:t>
            </w:r>
            <w:r w:rsidRPr="00C62BC1">
              <w:rPr>
                <w:rFonts w:ascii="Arial" w:hAnsi="Arial"/>
                <w:sz w:val="20"/>
                <w:szCs w:val="20"/>
                <w:vertAlign w:val="superscript"/>
                <w:lang w:eastAsia="vi-VN"/>
              </w:rPr>
              <w:footnoteReference w:id="32"/>
            </w:r>
          </w:p>
        </w:tc>
        <w:tc>
          <w:tcPr>
            <w:tcW w:w="1794" w:type="dxa"/>
            <w:noWrap/>
            <w:vAlign w:val="center"/>
            <w:hideMark/>
          </w:tcPr>
          <w:p w14:paraId="38B76D71" w14:textId="77777777" w:rsidR="00E17CFD" w:rsidRPr="00C62BC1" w:rsidRDefault="00E17CFD" w:rsidP="00AE2668">
            <w:pPr>
              <w:ind w:right="394"/>
              <w:jc w:val="right"/>
              <w:rPr>
                <w:rFonts w:ascii="Arial" w:hAnsi="Arial" w:cs="Arial"/>
                <w:sz w:val="20"/>
                <w:szCs w:val="20"/>
              </w:rPr>
            </w:pPr>
            <w:r w:rsidRPr="00C62BC1">
              <w:rPr>
                <w:rFonts w:ascii="Arial" w:hAnsi="Arial" w:cs="Arial"/>
                <w:sz w:val="20"/>
                <w:szCs w:val="20"/>
              </w:rPr>
              <w:t>10,4</w:t>
            </w:r>
          </w:p>
        </w:tc>
        <w:tc>
          <w:tcPr>
            <w:tcW w:w="1859" w:type="dxa"/>
            <w:noWrap/>
            <w:vAlign w:val="center"/>
            <w:hideMark/>
          </w:tcPr>
          <w:p w14:paraId="6FEE5B85" w14:textId="77777777" w:rsidR="00E17CFD" w:rsidRPr="00C62BC1" w:rsidRDefault="00E17CFD" w:rsidP="00AE2668">
            <w:pPr>
              <w:ind w:right="579"/>
              <w:jc w:val="right"/>
              <w:rPr>
                <w:rFonts w:ascii="Arial" w:hAnsi="Arial" w:cs="Arial"/>
                <w:sz w:val="20"/>
                <w:szCs w:val="20"/>
              </w:rPr>
            </w:pPr>
            <w:r w:rsidRPr="00C62BC1">
              <w:rPr>
                <w:rFonts w:ascii="Arial" w:hAnsi="Arial" w:cs="Arial"/>
                <w:sz w:val="20"/>
                <w:szCs w:val="20"/>
              </w:rPr>
              <w:t>0,8</w:t>
            </w:r>
          </w:p>
        </w:tc>
        <w:tc>
          <w:tcPr>
            <w:tcW w:w="1758" w:type="dxa"/>
            <w:noWrap/>
            <w:vAlign w:val="center"/>
            <w:hideMark/>
          </w:tcPr>
          <w:p w14:paraId="2639E47F" w14:textId="77777777" w:rsidR="00E17CFD" w:rsidRPr="00C62BC1" w:rsidRDefault="00E17CFD" w:rsidP="00AE2668">
            <w:pPr>
              <w:ind w:right="520"/>
              <w:jc w:val="right"/>
              <w:rPr>
                <w:rFonts w:ascii="Arial" w:hAnsi="Arial" w:cs="Arial"/>
                <w:sz w:val="20"/>
                <w:szCs w:val="20"/>
              </w:rPr>
            </w:pPr>
            <w:r w:rsidRPr="00C62BC1">
              <w:rPr>
                <w:rFonts w:ascii="Arial" w:hAnsi="Arial" w:cs="Arial"/>
                <w:sz w:val="20"/>
                <w:szCs w:val="20"/>
              </w:rPr>
              <w:t>-6,4</w:t>
            </w:r>
          </w:p>
        </w:tc>
        <w:tc>
          <w:tcPr>
            <w:tcW w:w="1490" w:type="dxa"/>
            <w:noWrap/>
            <w:vAlign w:val="center"/>
            <w:hideMark/>
          </w:tcPr>
          <w:p w14:paraId="15FF9443" w14:textId="77777777" w:rsidR="00E17CFD" w:rsidRPr="00C62BC1" w:rsidRDefault="00E17CFD" w:rsidP="00AE2668">
            <w:pPr>
              <w:ind w:right="322"/>
              <w:jc w:val="right"/>
              <w:rPr>
                <w:rFonts w:ascii="Arial" w:hAnsi="Arial" w:cs="Arial"/>
                <w:sz w:val="20"/>
                <w:szCs w:val="20"/>
              </w:rPr>
            </w:pPr>
            <w:r w:rsidRPr="00C62BC1">
              <w:rPr>
                <w:rFonts w:ascii="Arial" w:hAnsi="Arial" w:cs="Arial"/>
                <w:sz w:val="20"/>
                <w:szCs w:val="20"/>
              </w:rPr>
              <w:t>8,3</w:t>
            </w:r>
          </w:p>
        </w:tc>
      </w:tr>
      <w:tr w:rsidR="00951742" w:rsidRPr="00C62BC1" w14:paraId="14CD935B" w14:textId="77777777" w:rsidTr="00480E99">
        <w:trPr>
          <w:trHeight w:val="323"/>
          <w:jc w:val="center"/>
        </w:trPr>
        <w:tc>
          <w:tcPr>
            <w:tcW w:w="2191" w:type="dxa"/>
            <w:noWrap/>
            <w:vAlign w:val="center"/>
            <w:hideMark/>
          </w:tcPr>
          <w:p w14:paraId="34B3DD5E" w14:textId="77777777" w:rsidR="00E17CFD" w:rsidRPr="00C62BC1" w:rsidRDefault="00E17CFD" w:rsidP="00AE2668">
            <w:pPr>
              <w:tabs>
                <w:tab w:val="left" w:pos="407"/>
              </w:tabs>
              <w:ind w:firstLine="182"/>
              <w:rPr>
                <w:rFonts w:ascii="Arial" w:hAnsi="Arial" w:cs="Arial"/>
                <w:sz w:val="20"/>
                <w:szCs w:val="20"/>
                <w:lang w:eastAsia="vi-VN"/>
              </w:rPr>
            </w:pPr>
            <w:r w:rsidRPr="00C62BC1">
              <w:rPr>
                <w:rFonts w:ascii="Arial" w:hAnsi="Arial" w:cs="Arial"/>
                <w:sz w:val="20"/>
                <w:szCs w:val="20"/>
                <w:lang w:eastAsia="vi-VN"/>
              </w:rPr>
              <w:t>Đường thủy nội địa</w:t>
            </w:r>
          </w:p>
        </w:tc>
        <w:tc>
          <w:tcPr>
            <w:tcW w:w="1794" w:type="dxa"/>
            <w:noWrap/>
            <w:vAlign w:val="center"/>
            <w:hideMark/>
          </w:tcPr>
          <w:p w14:paraId="73401E3C" w14:textId="77777777" w:rsidR="00E17CFD" w:rsidRPr="00C62BC1" w:rsidRDefault="00E17CFD" w:rsidP="00AE2668">
            <w:pPr>
              <w:ind w:right="394"/>
              <w:jc w:val="right"/>
              <w:rPr>
                <w:rFonts w:ascii="Arial" w:hAnsi="Arial" w:cs="Arial"/>
                <w:sz w:val="20"/>
                <w:szCs w:val="20"/>
              </w:rPr>
            </w:pPr>
            <w:r w:rsidRPr="00C62BC1">
              <w:rPr>
                <w:rFonts w:ascii="Arial" w:hAnsi="Arial" w:cs="Arial"/>
                <w:sz w:val="20"/>
                <w:szCs w:val="20"/>
              </w:rPr>
              <w:t>371,6</w:t>
            </w:r>
          </w:p>
        </w:tc>
        <w:tc>
          <w:tcPr>
            <w:tcW w:w="1859" w:type="dxa"/>
            <w:noWrap/>
            <w:vAlign w:val="center"/>
            <w:hideMark/>
          </w:tcPr>
          <w:p w14:paraId="7DD4E1BF" w14:textId="77777777" w:rsidR="00E17CFD" w:rsidRPr="00C62BC1" w:rsidRDefault="00E17CFD" w:rsidP="00AE2668">
            <w:pPr>
              <w:ind w:right="579"/>
              <w:jc w:val="right"/>
              <w:rPr>
                <w:rFonts w:ascii="Arial" w:hAnsi="Arial" w:cs="Arial"/>
                <w:sz w:val="20"/>
                <w:szCs w:val="20"/>
              </w:rPr>
            </w:pPr>
            <w:r w:rsidRPr="00C62BC1">
              <w:rPr>
                <w:rFonts w:ascii="Arial" w:hAnsi="Arial" w:cs="Arial"/>
                <w:sz w:val="20"/>
                <w:szCs w:val="20"/>
              </w:rPr>
              <w:t>8,9</w:t>
            </w:r>
          </w:p>
        </w:tc>
        <w:tc>
          <w:tcPr>
            <w:tcW w:w="1758" w:type="dxa"/>
            <w:noWrap/>
            <w:vAlign w:val="center"/>
            <w:hideMark/>
          </w:tcPr>
          <w:p w14:paraId="6AE569A0" w14:textId="77777777" w:rsidR="00E17CFD" w:rsidRPr="00C62BC1" w:rsidRDefault="00E17CFD" w:rsidP="00AE2668">
            <w:pPr>
              <w:ind w:right="520"/>
              <w:jc w:val="right"/>
              <w:rPr>
                <w:rFonts w:ascii="Arial" w:hAnsi="Arial" w:cs="Arial"/>
                <w:sz w:val="20"/>
                <w:szCs w:val="20"/>
              </w:rPr>
            </w:pPr>
            <w:r w:rsidRPr="00C62BC1">
              <w:rPr>
                <w:rFonts w:ascii="Arial" w:hAnsi="Arial" w:cs="Arial"/>
                <w:sz w:val="20"/>
                <w:szCs w:val="20"/>
              </w:rPr>
              <w:t>15,4</w:t>
            </w:r>
          </w:p>
        </w:tc>
        <w:tc>
          <w:tcPr>
            <w:tcW w:w="1490" w:type="dxa"/>
            <w:noWrap/>
            <w:vAlign w:val="center"/>
            <w:hideMark/>
          </w:tcPr>
          <w:p w14:paraId="7E120819" w14:textId="77777777" w:rsidR="00E17CFD" w:rsidRPr="00C62BC1" w:rsidRDefault="00E17CFD" w:rsidP="00AE2668">
            <w:pPr>
              <w:ind w:right="322"/>
              <w:jc w:val="right"/>
              <w:rPr>
                <w:rFonts w:ascii="Arial" w:hAnsi="Arial" w:cs="Arial"/>
                <w:sz w:val="20"/>
                <w:szCs w:val="20"/>
              </w:rPr>
            </w:pPr>
            <w:r w:rsidRPr="00C62BC1">
              <w:rPr>
                <w:rFonts w:ascii="Arial" w:hAnsi="Arial" w:cs="Arial"/>
                <w:sz w:val="20"/>
                <w:szCs w:val="20"/>
              </w:rPr>
              <w:t>23,1</w:t>
            </w:r>
          </w:p>
        </w:tc>
      </w:tr>
      <w:tr w:rsidR="00951742" w:rsidRPr="00C62BC1" w14:paraId="45974832" w14:textId="77777777" w:rsidTr="00480E99">
        <w:trPr>
          <w:trHeight w:val="323"/>
          <w:jc w:val="center"/>
        </w:trPr>
        <w:tc>
          <w:tcPr>
            <w:tcW w:w="2191" w:type="dxa"/>
            <w:noWrap/>
            <w:vAlign w:val="center"/>
            <w:hideMark/>
          </w:tcPr>
          <w:p w14:paraId="2D9ACFAB" w14:textId="77777777" w:rsidR="00E17CFD" w:rsidRPr="00C62BC1" w:rsidRDefault="00E17CFD" w:rsidP="00AE2668">
            <w:pPr>
              <w:tabs>
                <w:tab w:val="left" w:pos="407"/>
              </w:tabs>
              <w:ind w:firstLine="182"/>
              <w:rPr>
                <w:rFonts w:ascii="Arial" w:hAnsi="Arial" w:cs="Arial"/>
                <w:sz w:val="20"/>
                <w:szCs w:val="20"/>
                <w:lang w:eastAsia="vi-VN"/>
              </w:rPr>
            </w:pPr>
            <w:r w:rsidRPr="00C62BC1">
              <w:rPr>
                <w:rFonts w:ascii="Arial" w:hAnsi="Arial" w:cs="Arial"/>
                <w:sz w:val="20"/>
                <w:szCs w:val="20"/>
                <w:lang w:eastAsia="vi-VN"/>
              </w:rPr>
              <w:t>Đường bộ</w:t>
            </w:r>
          </w:p>
        </w:tc>
        <w:tc>
          <w:tcPr>
            <w:tcW w:w="1794" w:type="dxa"/>
            <w:noWrap/>
            <w:vAlign w:val="center"/>
            <w:hideMark/>
          </w:tcPr>
          <w:p w14:paraId="271DA325" w14:textId="77777777" w:rsidR="00E17CFD" w:rsidRPr="00C62BC1" w:rsidRDefault="00E17CFD" w:rsidP="00AE2668">
            <w:pPr>
              <w:ind w:right="394"/>
              <w:jc w:val="right"/>
              <w:rPr>
                <w:rFonts w:ascii="Arial" w:hAnsi="Arial" w:cs="Arial"/>
                <w:sz w:val="20"/>
                <w:szCs w:val="20"/>
              </w:rPr>
            </w:pPr>
            <w:r w:rsidRPr="00C62BC1">
              <w:rPr>
                <w:rFonts w:ascii="Arial" w:hAnsi="Arial" w:cs="Arial"/>
                <w:sz w:val="20"/>
                <w:szCs w:val="20"/>
              </w:rPr>
              <w:t>5.164,5</w:t>
            </w:r>
          </w:p>
        </w:tc>
        <w:tc>
          <w:tcPr>
            <w:tcW w:w="1859" w:type="dxa"/>
            <w:noWrap/>
            <w:vAlign w:val="center"/>
            <w:hideMark/>
          </w:tcPr>
          <w:p w14:paraId="37089BFB" w14:textId="77777777" w:rsidR="00E17CFD" w:rsidRPr="00C62BC1" w:rsidRDefault="00E17CFD" w:rsidP="00AE2668">
            <w:pPr>
              <w:ind w:right="579"/>
              <w:jc w:val="right"/>
              <w:rPr>
                <w:rFonts w:ascii="Arial" w:hAnsi="Arial" w:cs="Arial"/>
                <w:sz w:val="20"/>
                <w:szCs w:val="20"/>
              </w:rPr>
            </w:pPr>
            <w:r w:rsidRPr="00C62BC1">
              <w:rPr>
                <w:rFonts w:ascii="Arial" w:hAnsi="Arial" w:cs="Arial"/>
                <w:sz w:val="20"/>
                <w:szCs w:val="20"/>
              </w:rPr>
              <w:t>187,0</w:t>
            </w:r>
          </w:p>
        </w:tc>
        <w:tc>
          <w:tcPr>
            <w:tcW w:w="1758" w:type="dxa"/>
            <w:noWrap/>
            <w:vAlign w:val="center"/>
            <w:hideMark/>
          </w:tcPr>
          <w:p w14:paraId="6054C858" w14:textId="77777777" w:rsidR="00E17CFD" w:rsidRPr="00C62BC1" w:rsidRDefault="00E17CFD" w:rsidP="00AE2668">
            <w:pPr>
              <w:ind w:right="520"/>
              <w:jc w:val="right"/>
              <w:rPr>
                <w:rFonts w:ascii="Arial" w:hAnsi="Arial" w:cs="Arial"/>
                <w:sz w:val="20"/>
                <w:szCs w:val="20"/>
              </w:rPr>
            </w:pPr>
            <w:r w:rsidRPr="00C62BC1">
              <w:rPr>
                <w:rFonts w:ascii="Arial" w:hAnsi="Arial" w:cs="Arial"/>
                <w:sz w:val="20"/>
                <w:szCs w:val="20"/>
              </w:rPr>
              <w:t>22,8</w:t>
            </w:r>
          </w:p>
        </w:tc>
        <w:tc>
          <w:tcPr>
            <w:tcW w:w="1490" w:type="dxa"/>
            <w:noWrap/>
            <w:vAlign w:val="center"/>
            <w:hideMark/>
          </w:tcPr>
          <w:p w14:paraId="2F96C1D8" w14:textId="77777777" w:rsidR="00E17CFD" w:rsidRPr="00C62BC1" w:rsidRDefault="00E17CFD" w:rsidP="00AE2668">
            <w:pPr>
              <w:ind w:right="322"/>
              <w:jc w:val="right"/>
              <w:rPr>
                <w:rFonts w:ascii="Arial" w:hAnsi="Arial" w:cs="Arial"/>
                <w:sz w:val="20"/>
                <w:szCs w:val="20"/>
              </w:rPr>
            </w:pPr>
            <w:r w:rsidRPr="00C62BC1">
              <w:rPr>
                <w:rFonts w:ascii="Arial" w:hAnsi="Arial" w:cs="Arial"/>
                <w:sz w:val="20"/>
                <w:szCs w:val="20"/>
              </w:rPr>
              <w:t>17,1</w:t>
            </w:r>
          </w:p>
        </w:tc>
      </w:tr>
      <w:tr w:rsidR="00E17CFD" w:rsidRPr="00C62BC1" w14:paraId="1338AA3B" w14:textId="77777777" w:rsidTr="00480E99">
        <w:trPr>
          <w:trHeight w:val="323"/>
          <w:jc w:val="center"/>
        </w:trPr>
        <w:tc>
          <w:tcPr>
            <w:tcW w:w="2191" w:type="dxa"/>
            <w:tcBorders>
              <w:top w:val="nil"/>
              <w:left w:val="nil"/>
              <w:bottom w:val="single" w:sz="4" w:space="0" w:color="auto"/>
              <w:right w:val="nil"/>
            </w:tcBorders>
            <w:noWrap/>
            <w:vAlign w:val="center"/>
            <w:hideMark/>
          </w:tcPr>
          <w:p w14:paraId="57B98001" w14:textId="77777777" w:rsidR="00E17CFD" w:rsidRPr="00C62BC1" w:rsidRDefault="00E17CFD" w:rsidP="00AE2668">
            <w:pPr>
              <w:tabs>
                <w:tab w:val="left" w:pos="407"/>
              </w:tabs>
              <w:ind w:firstLine="182"/>
              <w:rPr>
                <w:rFonts w:ascii="Arial" w:hAnsi="Arial" w:cs="Arial"/>
                <w:sz w:val="20"/>
                <w:szCs w:val="20"/>
                <w:lang w:eastAsia="vi-VN"/>
              </w:rPr>
            </w:pPr>
            <w:r w:rsidRPr="00C62BC1">
              <w:rPr>
                <w:rFonts w:ascii="Arial" w:hAnsi="Arial" w:cs="Arial"/>
                <w:sz w:val="20"/>
                <w:szCs w:val="20"/>
                <w:lang w:eastAsia="vi-VN"/>
              </w:rPr>
              <w:t>Hàng không</w:t>
            </w:r>
          </w:p>
        </w:tc>
        <w:tc>
          <w:tcPr>
            <w:tcW w:w="1794" w:type="dxa"/>
            <w:tcBorders>
              <w:top w:val="nil"/>
              <w:left w:val="nil"/>
              <w:bottom w:val="single" w:sz="4" w:space="0" w:color="auto"/>
              <w:right w:val="nil"/>
            </w:tcBorders>
            <w:noWrap/>
            <w:vAlign w:val="center"/>
            <w:hideMark/>
          </w:tcPr>
          <w:p w14:paraId="0270780A" w14:textId="77777777" w:rsidR="00E17CFD" w:rsidRPr="00C62BC1" w:rsidRDefault="00E17CFD" w:rsidP="00AE2668">
            <w:pPr>
              <w:ind w:right="394"/>
              <w:jc w:val="right"/>
              <w:rPr>
                <w:rFonts w:ascii="Arial" w:hAnsi="Arial" w:cs="Arial"/>
                <w:sz w:val="20"/>
                <w:szCs w:val="20"/>
              </w:rPr>
            </w:pPr>
            <w:r w:rsidRPr="00C62BC1">
              <w:rPr>
                <w:rFonts w:ascii="Arial" w:hAnsi="Arial" w:cs="Arial"/>
                <w:sz w:val="20"/>
                <w:szCs w:val="20"/>
              </w:rPr>
              <w:t>51,5</w:t>
            </w:r>
          </w:p>
        </w:tc>
        <w:tc>
          <w:tcPr>
            <w:tcW w:w="1859" w:type="dxa"/>
            <w:tcBorders>
              <w:top w:val="nil"/>
              <w:left w:val="nil"/>
              <w:bottom w:val="single" w:sz="4" w:space="0" w:color="auto"/>
              <w:right w:val="nil"/>
            </w:tcBorders>
            <w:noWrap/>
            <w:vAlign w:val="center"/>
            <w:hideMark/>
          </w:tcPr>
          <w:p w14:paraId="2FB9CAA9" w14:textId="77777777" w:rsidR="00E17CFD" w:rsidRPr="00C62BC1" w:rsidRDefault="00E17CFD" w:rsidP="00AE2668">
            <w:pPr>
              <w:ind w:right="579"/>
              <w:jc w:val="right"/>
              <w:rPr>
                <w:rFonts w:ascii="Arial" w:hAnsi="Arial" w:cs="Arial"/>
                <w:sz w:val="20"/>
                <w:szCs w:val="20"/>
              </w:rPr>
            </w:pPr>
            <w:r w:rsidRPr="00C62BC1">
              <w:rPr>
                <w:rFonts w:ascii="Arial" w:hAnsi="Arial" w:cs="Arial"/>
                <w:sz w:val="20"/>
                <w:szCs w:val="20"/>
              </w:rPr>
              <w:t>85,7</w:t>
            </w:r>
          </w:p>
        </w:tc>
        <w:tc>
          <w:tcPr>
            <w:tcW w:w="1758" w:type="dxa"/>
            <w:tcBorders>
              <w:top w:val="nil"/>
              <w:left w:val="nil"/>
              <w:bottom w:val="single" w:sz="4" w:space="0" w:color="auto"/>
              <w:right w:val="nil"/>
            </w:tcBorders>
            <w:noWrap/>
            <w:vAlign w:val="center"/>
            <w:hideMark/>
          </w:tcPr>
          <w:p w14:paraId="05A083A0" w14:textId="77777777" w:rsidR="00E17CFD" w:rsidRPr="00C62BC1" w:rsidRDefault="00E17CFD" w:rsidP="00AE2668">
            <w:pPr>
              <w:ind w:right="520"/>
              <w:jc w:val="right"/>
              <w:rPr>
                <w:rFonts w:ascii="Arial" w:hAnsi="Arial" w:cs="Arial"/>
                <w:sz w:val="20"/>
                <w:szCs w:val="20"/>
              </w:rPr>
            </w:pPr>
            <w:r w:rsidRPr="00C62BC1">
              <w:rPr>
                <w:rFonts w:ascii="Arial" w:hAnsi="Arial" w:cs="Arial"/>
                <w:sz w:val="20"/>
                <w:szCs w:val="20"/>
              </w:rPr>
              <w:t>8,1</w:t>
            </w:r>
          </w:p>
        </w:tc>
        <w:tc>
          <w:tcPr>
            <w:tcW w:w="1490" w:type="dxa"/>
            <w:tcBorders>
              <w:top w:val="nil"/>
              <w:left w:val="nil"/>
              <w:bottom w:val="single" w:sz="4" w:space="0" w:color="auto"/>
              <w:right w:val="nil"/>
            </w:tcBorders>
            <w:noWrap/>
            <w:vAlign w:val="center"/>
            <w:hideMark/>
          </w:tcPr>
          <w:p w14:paraId="79E64D84" w14:textId="77777777" w:rsidR="00E17CFD" w:rsidRPr="00C62BC1" w:rsidRDefault="00E17CFD" w:rsidP="00AE2668">
            <w:pPr>
              <w:ind w:right="322"/>
              <w:jc w:val="right"/>
              <w:rPr>
                <w:rFonts w:ascii="Arial" w:hAnsi="Arial" w:cs="Arial"/>
                <w:sz w:val="20"/>
                <w:szCs w:val="20"/>
              </w:rPr>
            </w:pPr>
            <w:r w:rsidRPr="00C62BC1">
              <w:rPr>
                <w:rFonts w:ascii="Arial" w:hAnsi="Arial" w:cs="Arial"/>
                <w:sz w:val="20"/>
                <w:szCs w:val="20"/>
              </w:rPr>
              <w:t>6,7</w:t>
            </w:r>
          </w:p>
        </w:tc>
      </w:tr>
    </w:tbl>
    <w:p w14:paraId="7FE754D9" w14:textId="77777777" w:rsidR="00E17CFD" w:rsidRPr="00C62BC1" w:rsidRDefault="00E17CFD" w:rsidP="00E17CFD">
      <w:pPr>
        <w:spacing w:before="40" w:after="40" w:line="288" w:lineRule="auto"/>
        <w:ind w:firstLine="567"/>
        <w:jc w:val="both"/>
        <w:rPr>
          <w:bCs/>
          <w:i/>
          <w:iCs/>
          <w:spacing w:val="-2"/>
          <w:sz w:val="6"/>
          <w:lang w:val="fr-FR"/>
        </w:rPr>
      </w:pPr>
    </w:p>
    <w:p w14:paraId="68AF0A9B" w14:textId="77777777" w:rsidR="00E17CFD" w:rsidRPr="00C62BC1" w:rsidRDefault="00E17CFD" w:rsidP="00E17CFD">
      <w:pPr>
        <w:spacing w:before="40" w:after="120" w:line="252" w:lineRule="auto"/>
        <w:ind w:firstLine="720"/>
        <w:jc w:val="both"/>
        <w:rPr>
          <w:spacing w:val="-4"/>
          <w:lang w:val="fr-FR"/>
        </w:rPr>
      </w:pPr>
      <w:r w:rsidRPr="00C62BC1">
        <w:rPr>
          <w:i/>
          <w:spacing w:val="-4"/>
          <w:lang w:val="fr-FR"/>
        </w:rPr>
        <w:t>Vận tải hàng hóa</w:t>
      </w:r>
      <w:r w:rsidRPr="00C62BC1">
        <w:rPr>
          <w:spacing w:val="-4"/>
          <w:lang w:val="fr-FR"/>
        </w:rPr>
        <w:t xml:space="preserve"> tháng Mười Một ước đạt 278,6 triệu tấn hàng hóa vận chuyển, tăng 4,3% so với tháng trước và luân chuyển 56,2 tỷ tấn.km, tăng 2,8%. Tính chung mười một tháng năm 2025, vận tải hàng hóa ước đạt 2.773,9 triệu tấn vận chuyển, tăng 14,7% so với cùng kỳ năm trước và luân chuyển 562,9 tỷ tấn.km, tăng 14,0%. Trong đó, vận tải trong nước ước đạt 2.726,0 triệu tấn vận chuyển, tăng 14,8% và 335,4 tỷ tấn.km luân chuyển, tăng 10,3%; vận tải ngoài nước ước đạt 47,9 triệu tấn vận chuyển, tăng 9,6% và 227,5 tỷ tấn.km luân chuyển, tăng 20,0%. </w:t>
      </w:r>
    </w:p>
    <w:p w14:paraId="1E36CD3A" w14:textId="77777777" w:rsidR="00E17CFD" w:rsidRPr="00C62BC1" w:rsidRDefault="00E17CFD" w:rsidP="00E17CFD">
      <w:pPr>
        <w:spacing w:before="120" w:after="120"/>
        <w:jc w:val="center"/>
        <w:rPr>
          <w:rFonts w:ascii="Arial" w:hAnsi="Arial" w:cs="Arial"/>
          <w:b/>
          <w:bCs/>
          <w:sz w:val="24"/>
          <w:szCs w:val="24"/>
          <w:lang w:val="fr-FR"/>
        </w:rPr>
      </w:pPr>
      <w:r w:rsidRPr="00C62BC1">
        <w:rPr>
          <w:rFonts w:ascii="Arial" w:hAnsi="Arial" w:cs="Arial"/>
          <w:b/>
          <w:sz w:val="24"/>
          <w:szCs w:val="24"/>
          <w:lang w:val="fr-FR"/>
        </w:rPr>
        <w:t xml:space="preserve">Biểu 7. </w:t>
      </w:r>
      <w:r w:rsidRPr="00C62BC1">
        <w:rPr>
          <w:rFonts w:ascii="Arial" w:hAnsi="Arial" w:cs="Arial"/>
          <w:b/>
          <w:bCs/>
          <w:sz w:val="24"/>
          <w:szCs w:val="24"/>
          <w:lang w:val="fr-FR"/>
        </w:rPr>
        <w:t>Vận tải hàng hóa mười một tháng năm 2025 phân theo ngành vận tải</w:t>
      </w:r>
    </w:p>
    <w:tbl>
      <w:tblPr>
        <w:tblW w:w="9041" w:type="dxa"/>
        <w:jc w:val="center"/>
        <w:tblLook w:val="04A0" w:firstRow="1" w:lastRow="0" w:firstColumn="1" w:lastColumn="0" w:noHBand="0" w:noVBand="1"/>
      </w:tblPr>
      <w:tblGrid>
        <w:gridCol w:w="2178"/>
        <w:gridCol w:w="1782"/>
        <w:gridCol w:w="1852"/>
        <w:gridCol w:w="1749"/>
        <w:gridCol w:w="1480"/>
      </w:tblGrid>
      <w:tr w:rsidR="00951742" w:rsidRPr="00C62BC1" w14:paraId="2F8B6B60" w14:textId="77777777" w:rsidTr="00480E99">
        <w:trPr>
          <w:trHeight w:val="504"/>
          <w:jc w:val="center"/>
        </w:trPr>
        <w:tc>
          <w:tcPr>
            <w:tcW w:w="2178" w:type="dxa"/>
            <w:tcBorders>
              <w:top w:val="single" w:sz="4" w:space="0" w:color="auto"/>
              <w:left w:val="nil"/>
              <w:bottom w:val="nil"/>
              <w:right w:val="nil"/>
            </w:tcBorders>
            <w:vAlign w:val="center"/>
            <w:hideMark/>
          </w:tcPr>
          <w:p w14:paraId="376BF9A5" w14:textId="77777777" w:rsidR="00E17CFD" w:rsidRPr="00C62BC1" w:rsidRDefault="00E17CFD" w:rsidP="00AE2668">
            <w:pPr>
              <w:rPr>
                <w:rFonts w:ascii="Arial" w:hAnsi="Arial" w:cs="Arial"/>
                <w:b/>
                <w:bCs/>
                <w:sz w:val="24"/>
                <w:szCs w:val="24"/>
                <w:lang w:val="fr-FR"/>
              </w:rPr>
            </w:pPr>
          </w:p>
        </w:tc>
        <w:tc>
          <w:tcPr>
            <w:tcW w:w="3634" w:type="dxa"/>
            <w:gridSpan w:val="2"/>
            <w:tcBorders>
              <w:top w:val="single" w:sz="4" w:space="0" w:color="auto"/>
              <w:left w:val="nil"/>
              <w:bottom w:val="single" w:sz="4" w:space="0" w:color="auto"/>
              <w:right w:val="nil"/>
            </w:tcBorders>
            <w:vAlign w:val="center"/>
            <w:hideMark/>
          </w:tcPr>
          <w:p w14:paraId="44550509" w14:textId="77777777" w:rsidR="00E17CFD" w:rsidRPr="00C62BC1" w:rsidRDefault="00E17CFD" w:rsidP="00AE2668">
            <w:pPr>
              <w:jc w:val="center"/>
              <w:rPr>
                <w:rFonts w:ascii="Arial" w:hAnsi="Arial" w:cs="Arial"/>
                <w:sz w:val="20"/>
                <w:szCs w:val="20"/>
                <w:lang w:eastAsia="vi-VN"/>
              </w:rPr>
            </w:pPr>
            <w:r w:rsidRPr="00C62BC1">
              <w:rPr>
                <w:rFonts w:ascii="Arial" w:hAnsi="Arial" w:cs="Arial"/>
                <w:sz w:val="20"/>
                <w:szCs w:val="20"/>
                <w:lang w:eastAsia="vi-VN"/>
              </w:rPr>
              <w:t>Sản lượng hàng hóa</w:t>
            </w:r>
          </w:p>
        </w:tc>
        <w:tc>
          <w:tcPr>
            <w:tcW w:w="3229" w:type="dxa"/>
            <w:gridSpan w:val="2"/>
            <w:tcBorders>
              <w:top w:val="single" w:sz="4" w:space="0" w:color="auto"/>
              <w:left w:val="nil"/>
              <w:bottom w:val="single" w:sz="4" w:space="0" w:color="auto"/>
              <w:right w:val="nil"/>
            </w:tcBorders>
            <w:vAlign w:val="center"/>
            <w:hideMark/>
          </w:tcPr>
          <w:p w14:paraId="0CAEF8CC" w14:textId="77777777" w:rsidR="00E17CFD" w:rsidRPr="00C62BC1" w:rsidRDefault="00E17CFD" w:rsidP="00AE2668">
            <w:pPr>
              <w:jc w:val="center"/>
              <w:rPr>
                <w:rFonts w:ascii="Arial" w:hAnsi="Arial" w:cs="Arial"/>
                <w:sz w:val="20"/>
                <w:szCs w:val="20"/>
                <w:lang w:eastAsia="vi-VN"/>
              </w:rPr>
            </w:pPr>
            <w:r w:rsidRPr="00C62BC1">
              <w:rPr>
                <w:rFonts w:ascii="Arial" w:hAnsi="Arial" w:cs="Arial"/>
                <w:sz w:val="20"/>
                <w:szCs w:val="20"/>
                <w:lang w:eastAsia="vi-VN"/>
              </w:rPr>
              <w:t>Tốc độ tăng so với</w:t>
            </w:r>
            <w:r w:rsidRPr="00C62BC1">
              <w:rPr>
                <w:rFonts w:ascii="Arial" w:hAnsi="Arial" w:cs="Arial"/>
                <w:sz w:val="20"/>
                <w:szCs w:val="20"/>
                <w:lang w:eastAsia="vi-VN"/>
              </w:rPr>
              <w:br/>
              <w:t>cùng kỳ năm trước (%)</w:t>
            </w:r>
          </w:p>
        </w:tc>
      </w:tr>
      <w:tr w:rsidR="00951742" w:rsidRPr="00C62BC1" w14:paraId="2A512851" w14:textId="77777777" w:rsidTr="00480E99">
        <w:trPr>
          <w:trHeight w:val="439"/>
          <w:jc w:val="center"/>
        </w:trPr>
        <w:tc>
          <w:tcPr>
            <w:tcW w:w="2178" w:type="dxa"/>
            <w:vAlign w:val="center"/>
            <w:hideMark/>
          </w:tcPr>
          <w:p w14:paraId="12A2FD5F" w14:textId="77777777" w:rsidR="00E17CFD" w:rsidRPr="00C62BC1" w:rsidRDefault="00E17CFD" w:rsidP="00AE2668">
            <w:pPr>
              <w:rPr>
                <w:rFonts w:ascii="Arial" w:hAnsi="Arial" w:cs="Arial"/>
                <w:sz w:val="20"/>
                <w:szCs w:val="20"/>
                <w:lang w:eastAsia="vi-VN"/>
              </w:rPr>
            </w:pPr>
          </w:p>
        </w:tc>
        <w:tc>
          <w:tcPr>
            <w:tcW w:w="1782" w:type="dxa"/>
            <w:tcBorders>
              <w:top w:val="single" w:sz="4" w:space="0" w:color="auto"/>
              <w:left w:val="nil"/>
              <w:bottom w:val="single" w:sz="4" w:space="0" w:color="auto"/>
              <w:right w:val="nil"/>
            </w:tcBorders>
            <w:vAlign w:val="center"/>
            <w:hideMark/>
          </w:tcPr>
          <w:p w14:paraId="11DEE188" w14:textId="77777777" w:rsidR="00E17CFD" w:rsidRPr="00C62BC1" w:rsidRDefault="00E17CFD" w:rsidP="00AE2668">
            <w:pPr>
              <w:jc w:val="center"/>
              <w:rPr>
                <w:rFonts w:ascii="Arial" w:hAnsi="Arial" w:cs="Arial"/>
                <w:sz w:val="20"/>
                <w:szCs w:val="20"/>
                <w:lang w:eastAsia="vi-VN"/>
              </w:rPr>
            </w:pPr>
            <w:r w:rsidRPr="00C62BC1">
              <w:rPr>
                <w:rFonts w:ascii="Arial" w:hAnsi="Arial" w:cs="Arial"/>
                <w:sz w:val="20"/>
                <w:szCs w:val="20"/>
                <w:lang w:eastAsia="vi-VN"/>
              </w:rPr>
              <w:t>Vận chuyển</w:t>
            </w:r>
            <w:r w:rsidRPr="00C62BC1">
              <w:rPr>
                <w:rFonts w:ascii="Arial" w:hAnsi="Arial" w:cs="Arial"/>
                <w:sz w:val="20"/>
                <w:szCs w:val="20"/>
                <w:lang w:eastAsia="vi-VN"/>
              </w:rPr>
              <w:br/>
              <w:t>(Triệu tấn)</w:t>
            </w:r>
          </w:p>
        </w:tc>
        <w:tc>
          <w:tcPr>
            <w:tcW w:w="1852" w:type="dxa"/>
            <w:tcBorders>
              <w:top w:val="single" w:sz="4" w:space="0" w:color="auto"/>
              <w:left w:val="nil"/>
              <w:bottom w:val="single" w:sz="4" w:space="0" w:color="auto"/>
              <w:right w:val="nil"/>
            </w:tcBorders>
            <w:vAlign w:val="center"/>
            <w:hideMark/>
          </w:tcPr>
          <w:p w14:paraId="2E7EE4D7" w14:textId="77777777" w:rsidR="00E17CFD" w:rsidRPr="00C62BC1" w:rsidRDefault="00E17CFD" w:rsidP="00AE2668">
            <w:pPr>
              <w:jc w:val="center"/>
              <w:rPr>
                <w:rFonts w:ascii="Arial" w:hAnsi="Arial" w:cs="Arial"/>
                <w:sz w:val="20"/>
                <w:szCs w:val="20"/>
                <w:lang w:eastAsia="vi-VN"/>
              </w:rPr>
            </w:pPr>
            <w:r w:rsidRPr="00C62BC1">
              <w:rPr>
                <w:rFonts w:ascii="Arial" w:hAnsi="Arial" w:cs="Arial"/>
                <w:sz w:val="20"/>
                <w:szCs w:val="20"/>
                <w:lang w:eastAsia="vi-VN"/>
              </w:rPr>
              <w:t>Luân chuyển</w:t>
            </w:r>
            <w:r w:rsidRPr="00C62BC1">
              <w:rPr>
                <w:rFonts w:ascii="Arial" w:hAnsi="Arial" w:cs="Arial"/>
                <w:sz w:val="20"/>
                <w:szCs w:val="20"/>
                <w:lang w:eastAsia="vi-VN"/>
              </w:rPr>
              <w:br/>
              <w:t>(Tỷ tấn.km)</w:t>
            </w:r>
          </w:p>
        </w:tc>
        <w:tc>
          <w:tcPr>
            <w:tcW w:w="1749" w:type="dxa"/>
            <w:tcBorders>
              <w:top w:val="single" w:sz="4" w:space="0" w:color="auto"/>
              <w:left w:val="nil"/>
              <w:bottom w:val="single" w:sz="4" w:space="0" w:color="auto"/>
              <w:right w:val="nil"/>
            </w:tcBorders>
            <w:vAlign w:val="center"/>
            <w:hideMark/>
          </w:tcPr>
          <w:p w14:paraId="551DDC0E" w14:textId="77777777" w:rsidR="00E17CFD" w:rsidRPr="00C62BC1" w:rsidRDefault="00E17CFD" w:rsidP="00AE2668">
            <w:pPr>
              <w:jc w:val="center"/>
              <w:rPr>
                <w:rFonts w:ascii="Arial" w:hAnsi="Arial" w:cs="Arial"/>
                <w:sz w:val="20"/>
                <w:szCs w:val="20"/>
                <w:lang w:eastAsia="vi-VN"/>
              </w:rPr>
            </w:pPr>
            <w:r w:rsidRPr="00C62BC1">
              <w:rPr>
                <w:rFonts w:ascii="Arial" w:hAnsi="Arial" w:cs="Arial"/>
                <w:sz w:val="20"/>
                <w:szCs w:val="20"/>
                <w:lang w:eastAsia="vi-VN"/>
              </w:rPr>
              <w:t>Vận chuyển</w:t>
            </w:r>
          </w:p>
        </w:tc>
        <w:tc>
          <w:tcPr>
            <w:tcW w:w="1480" w:type="dxa"/>
            <w:tcBorders>
              <w:top w:val="single" w:sz="4" w:space="0" w:color="auto"/>
              <w:left w:val="nil"/>
              <w:bottom w:val="single" w:sz="4" w:space="0" w:color="auto"/>
              <w:right w:val="nil"/>
            </w:tcBorders>
            <w:vAlign w:val="center"/>
            <w:hideMark/>
          </w:tcPr>
          <w:p w14:paraId="758FD7A7" w14:textId="77777777" w:rsidR="00E17CFD" w:rsidRPr="00C62BC1" w:rsidRDefault="00E17CFD" w:rsidP="00AE2668">
            <w:pPr>
              <w:jc w:val="center"/>
              <w:rPr>
                <w:rFonts w:ascii="Arial" w:hAnsi="Arial" w:cs="Arial"/>
                <w:sz w:val="20"/>
                <w:szCs w:val="20"/>
                <w:lang w:eastAsia="vi-VN"/>
              </w:rPr>
            </w:pPr>
            <w:r w:rsidRPr="00C62BC1">
              <w:rPr>
                <w:rFonts w:ascii="Arial" w:hAnsi="Arial" w:cs="Arial"/>
                <w:sz w:val="20"/>
                <w:szCs w:val="20"/>
                <w:lang w:eastAsia="vi-VN"/>
              </w:rPr>
              <w:t>Luân chuyển</w:t>
            </w:r>
          </w:p>
        </w:tc>
      </w:tr>
      <w:tr w:rsidR="00951742" w:rsidRPr="00C62BC1" w14:paraId="278416F5" w14:textId="77777777" w:rsidTr="00480E99">
        <w:trPr>
          <w:trHeight w:val="398"/>
          <w:jc w:val="center"/>
        </w:trPr>
        <w:tc>
          <w:tcPr>
            <w:tcW w:w="2178" w:type="dxa"/>
            <w:noWrap/>
            <w:vAlign w:val="center"/>
            <w:hideMark/>
          </w:tcPr>
          <w:p w14:paraId="06846EA4" w14:textId="77777777" w:rsidR="00E17CFD" w:rsidRPr="00C62BC1" w:rsidRDefault="00E17CFD" w:rsidP="00AE2668">
            <w:pPr>
              <w:rPr>
                <w:rFonts w:ascii="Arial" w:hAnsi="Arial" w:cs="Arial"/>
                <w:b/>
                <w:bCs/>
                <w:sz w:val="20"/>
                <w:szCs w:val="20"/>
                <w:lang w:eastAsia="vi-VN"/>
              </w:rPr>
            </w:pPr>
            <w:r w:rsidRPr="00C62BC1">
              <w:rPr>
                <w:rFonts w:ascii="Arial" w:hAnsi="Arial" w:cs="Arial"/>
                <w:b/>
                <w:bCs/>
                <w:sz w:val="20"/>
                <w:szCs w:val="20"/>
                <w:lang w:eastAsia="vi-VN"/>
              </w:rPr>
              <w:t>Tổng số</w:t>
            </w:r>
          </w:p>
        </w:tc>
        <w:tc>
          <w:tcPr>
            <w:tcW w:w="1782" w:type="dxa"/>
            <w:tcBorders>
              <w:top w:val="single" w:sz="4" w:space="0" w:color="auto"/>
              <w:left w:val="nil"/>
              <w:bottom w:val="nil"/>
              <w:right w:val="nil"/>
            </w:tcBorders>
            <w:noWrap/>
            <w:vAlign w:val="center"/>
            <w:hideMark/>
          </w:tcPr>
          <w:p w14:paraId="21953A6F" w14:textId="77777777" w:rsidR="00E17CFD" w:rsidRPr="00C62BC1" w:rsidRDefault="00E17CFD" w:rsidP="00AE2668">
            <w:pPr>
              <w:ind w:right="484"/>
              <w:jc w:val="right"/>
              <w:rPr>
                <w:rFonts w:ascii="Arial" w:hAnsi="Arial" w:cs="Arial"/>
                <w:b/>
                <w:bCs/>
                <w:sz w:val="20"/>
                <w:szCs w:val="20"/>
              </w:rPr>
            </w:pPr>
            <w:r w:rsidRPr="00C62BC1">
              <w:rPr>
                <w:rFonts w:ascii="Arial" w:hAnsi="Arial" w:cs="Arial"/>
                <w:b/>
                <w:bCs/>
                <w:sz w:val="20"/>
                <w:szCs w:val="20"/>
              </w:rPr>
              <w:t>2.773,9</w:t>
            </w:r>
          </w:p>
        </w:tc>
        <w:tc>
          <w:tcPr>
            <w:tcW w:w="1852" w:type="dxa"/>
            <w:tcBorders>
              <w:top w:val="single" w:sz="4" w:space="0" w:color="auto"/>
              <w:left w:val="nil"/>
              <w:bottom w:val="nil"/>
              <w:right w:val="nil"/>
            </w:tcBorders>
            <w:noWrap/>
            <w:vAlign w:val="center"/>
            <w:hideMark/>
          </w:tcPr>
          <w:p w14:paraId="74EF7848" w14:textId="77777777" w:rsidR="00E17CFD" w:rsidRPr="00C62BC1" w:rsidRDefault="00E17CFD" w:rsidP="00AE2668">
            <w:pPr>
              <w:ind w:right="484"/>
              <w:jc w:val="right"/>
              <w:rPr>
                <w:rFonts w:ascii="Arial" w:hAnsi="Arial" w:cs="Arial"/>
                <w:b/>
                <w:bCs/>
                <w:sz w:val="20"/>
                <w:szCs w:val="20"/>
              </w:rPr>
            </w:pPr>
            <w:r w:rsidRPr="00C62BC1">
              <w:rPr>
                <w:rFonts w:ascii="Arial" w:hAnsi="Arial" w:cs="Arial"/>
                <w:b/>
                <w:bCs/>
                <w:sz w:val="20"/>
                <w:szCs w:val="20"/>
              </w:rPr>
              <w:t>562,9</w:t>
            </w:r>
          </w:p>
        </w:tc>
        <w:tc>
          <w:tcPr>
            <w:tcW w:w="1749" w:type="dxa"/>
            <w:tcBorders>
              <w:top w:val="single" w:sz="4" w:space="0" w:color="auto"/>
              <w:left w:val="nil"/>
              <w:bottom w:val="nil"/>
              <w:right w:val="nil"/>
            </w:tcBorders>
            <w:noWrap/>
            <w:vAlign w:val="center"/>
            <w:hideMark/>
          </w:tcPr>
          <w:p w14:paraId="21E658B2" w14:textId="77777777" w:rsidR="00E17CFD" w:rsidRPr="00C62BC1" w:rsidRDefault="00E17CFD" w:rsidP="00AE2668">
            <w:pPr>
              <w:ind w:right="484"/>
              <w:jc w:val="right"/>
              <w:rPr>
                <w:rFonts w:ascii="Arial" w:hAnsi="Arial" w:cs="Arial"/>
                <w:b/>
                <w:bCs/>
                <w:sz w:val="20"/>
                <w:szCs w:val="20"/>
              </w:rPr>
            </w:pPr>
            <w:r w:rsidRPr="00C62BC1">
              <w:rPr>
                <w:rFonts w:ascii="Arial" w:hAnsi="Arial" w:cs="Arial"/>
                <w:b/>
                <w:bCs/>
                <w:sz w:val="20"/>
                <w:szCs w:val="20"/>
              </w:rPr>
              <w:t>14,7</w:t>
            </w:r>
          </w:p>
        </w:tc>
        <w:tc>
          <w:tcPr>
            <w:tcW w:w="1480" w:type="dxa"/>
            <w:tcBorders>
              <w:top w:val="single" w:sz="4" w:space="0" w:color="auto"/>
              <w:left w:val="nil"/>
              <w:bottom w:val="nil"/>
              <w:right w:val="nil"/>
            </w:tcBorders>
            <w:noWrap/>
            <w:vAlign w:val="center"/>
            <w:hideMark/>
          </w:tcPr>
          <w:p w14:paraId="1CE565EE" w14:textId="77777777" w:rsidR="00E17CFD" w:rsidRPr="00C62BC1" w:rsidRDefault="00E17CFD" w:rsidP="00AE2668">
            <w:pPr>
              <w:ind w:right="484"/>
              <w:jc w:val="right"/>
              <w:rPr>
                <w:rFonts w:ascii="Arial" w:hAnsi="Arial" w:cs="Arial"/>
                <w:b/>
                <w:bCs/>
                <w:sz w:val="20"/>
                <w:szCs w:val="20"/>
              </w:rPr>
            </w:pPr>
            <w:r w:rsidRPr="00C62BC1">
              <w:rPr>
                <w:rFonts w:ascii="Arial" w:hAnsi="Arial" w:cs="Arial"/>
                <w:b/>
                <w:bCs/>
                <w:sz w:val="20"/>
                <w:szCs w:val="20"/>
              </w:rPr>
              <w:t>14,0</w:t>
            </w:r>
          </w:p>
        </w:tc>
      </w:tr>
      <w:tr w:rsidR="00951742" w:rsidRPr="00C62BC1" w14:paraId="4837CE36" w14:textId="77777777" w:rsidTr="00480E99">
        <w:trPr>
          <w:trHeight w:val="332"/>
          <w:jc w:val="center"/>
        </w:trPr>
        <w:tc>
          <w:tcPr>
            <w:tcW w:w="2178" w:type="dxa"/>
            <w:noWrap/>
            <w:vAlign w:val="center"/>
            <w:hideMark/>
          </w:tcPr>
          <w:p w14:paraId="11717106" w14:textId="77777777" w:rsidR="00E17CFD" w:rsidRPr="00C62BC1" w:rsidRDefault="00E17CFD" w:rsidP="00AE2668">
            <w:pPr>
              <w:tabs>
                <w:tab w:val="left" w:pos="407"/>
              </w:tabs>
              <w:ind w:firstLine="182"/>
              <w:rPr>
                <w:rFonts w:ascii="Arial" w:hAnsi="Arial" w:cs="Arial"/>
                <w:sz w:val="20"/>
                <w:szCs w:val="20"/>
                <w:lang w:eastAsia="vi-VN"/>
              </w:rPr>
            </w:pPr>
            <w:r w:rsidRPr="00C62BC1">
              <w:rPr>
                <w:rFonts w:ascii="Arial" w:hAnsi="Arial" w:cs="Arial"/>
                <w:sz w:val="20"/>
                <w:szCs w:val="20"/>
                <w:lang w:eastAsia="vi-VN"/>
              </w:rPr>
              <w:t>Đường sắt</w:t>
            </w:r>
          </w:p>
        </w:tc>
        <w:tc>
          <w:tcPr>
            <w:tcW w:w="1782" w:type="dxa"/>
            <w:noWrap/>
            <w:vAlign w:val="center"/>
            <w:hideMark/>
          </w:tcPr>
          <w:p w14:paraId="4809B99D" w14:textId="77777777" w:rsidR="00E17CFD" w:rsidRPr="00C62BC1" w:rsidRDefault="00E17CFD" w:rsidP="00AE2668">
            <w:pPr>
              <w:ind w:right="484"/>
              <w:jc w:val="right"/>
              <w:rPr>
                <w:rFonts w:ascii="Arial" w:hAnsi="Arial" w:cs="Arial"/>
                <w:sz w:val="20"/>
                <w:szCs w:val="20"/>
              </w:rPr>
            </w:pPr>
            <w:r w:rsidRPr="00C62BC1">
              <w:rPr>
                <w:rFonts w:ascii="Arial" w:hAnsi="Arial" w:cs="Arial"/>
                <w:sz w:val="20"/>
                <w:szCs w:val="20"/>
              </w:rPr>
              <w:t>5,0</w:t>
            </w:r>
          </w:p>
        </w:tc>
        <w:tc>
          <w:tcPr>
            <w:tcW w:w="1852" w:type="dxa"/>
            <w:noWrap/>
            <w:vAlign w:val="center"/>
            <w:hideMark/>
          </w:tcPr>
          <w:p w14:paraId="38228BFC" w14:textId="77777777" w:rsidR="00E17CFD" w:rsidRPr="00C62BC1" w:rsidRDefault="00E17CFD" w:rsidP="00AE2668">
            <w:pPr>
              <w:ind w:right="484"/>
              <w:jc w:val="right"/>
              <w:rPr>
                <w:rFonts w:ascii="Arial" w:hAnsi="Arial" w:cs="Arial"/>
                <w:sz w:val="20"/>
                <w:szCs w:val="20"/>
              </w:rPr>
            </w:pPr>
            <w:r w:rsidRPr="00C62BC1">
              <w:rPr>
                <w:rFonts w:ascii="Arial" w:hAnsi="Arial" w:cs="Arial"/>
                <w:sz w:val="20"/>
                <w:szCs w:val="20"/>
              </w:rPr>
              <w:t>3,7</w:t>
            </w:r>
          </w:p>
        </w:tc>
        <w:tc>
          <w:tcPr>
            <w:tcW w:w="1749" w:type="dxa"/>
            <w:noWrap/>
            <w:vAlign w:val="center"/>
            <w:hideMark/>
          </w:tcPr>
          <w:p w14:paraId="2061151F" w14:textId="77777777" w:rsidR="00E17CFD" w:rsidRPr="00C62BC1" w:rsidRDefault="00E17CFD" w:rsidP="00AE2668">
            <w:pPr>
              <w:ind w:right="484"/>
              <w:jc w:val="right"/>
              <w:rPr>
                <w:rFonts w:ascii="Arial" w:hAnsi="Arial" w:cs="Arial"/>
                <w:sz w:val="20"/>
                <w:szCs w:val="20"/>
              </w:rPr>
            </w:pPr>
            <w:r w:rsidRPr="00C62BC1">
              <w:rPr>
                <w:rFonts w:ascii="Arial" w:hAnsi="Arial" w:cs="Arial"/>
                <w:sz w:val="20"/>
                <w:szCs w:val="20"/>
              </w:rPr>
              <w:t>9,4</w:t>
            </w:r>
          </w:p>
        </w:tc>
        <w:tc>
          <w:tcPr>
            <w:tcW w:w="1480" w:type="dxa"/>
            <w:noWrap/>
            <w:vAlign w:val="center"/>
            <w:hideMark/>
          </w:tcPr>
          <w:p w14:paraId="4774002E" w14:textId="77777777" w:rsidR="00E17CFD" w:rsidRPr="00C62BC1" w:rsidRDefault="00E17CFD" w:rsidP="00AE2668">
            <w:pPr>
              <w:ind w:right="484"/>
              <w:jc w:val="right"/>
              <w:rPr>
                <w:rFonts w:ascii="Arial" w:hAnsi="Arial" w:cs="Arial"/>
                <w:sz w:val="20"/>
                <w:szCs w:val="20"/>
              </w:rPr>
            </w:pPr>
            <w:r w:rsidRPr="00C62BC1">
              <w:rPr>
                <w:rFonts w:ascii="Arial" w:hAnsi="Arial" w:cs="Arial"/>
                <w:sz w:val="20"/>
                <w:szCs w:val="20"/>
              </w:rPr>
              <w:t>7,8</w:t>
            </w:r>
          </w:p>
        </w:tc>
      </w:tr>
      <w:tr w:rsidR="00951742" w:rsidRPr="00C62BC1" w14:paraId="5B49144C" w14:textId="77777777" w:rsidTr="00480E99">
        <w:trPr>
          <w:trHeight w:val="332"/>
          <w:jc w:val="center"/>
        </w:trPr>
        <w:tc>
          <w:tcPr>
            <w:tcW w:w="2178" w:type="dxa"/>
            <w:noWrap/>
            <w:vAlign w:val="center"/>
            <w:hideMark/>
          </w:tcPr>
          <w:p w14:paraId="1FEEBDDE" w14:textId="77777777" w:rsidR="00E17CFD" w:rsidRPr="00C62BC1" w:rsidRDefault="00E17CFD" w:rsidP="00AE2668">
            <w:pPr>
              <w:tabs>
                <w:tab w:val="left" w:pos="407"/>
              </w:tabs>
              <w:ind w:firstLine="182"/>
              <w:rPr>
                <w:rFonts w:ascii="Arial" w:hAnsi="Arial" w:cs="Arial"/>
                <w:sz w:val="20"/>
                <w:szCs w:val="20"/>
                <w:lang w:eastAsia="vi-VN"/>
              </w:rPr>
            </w:pPr>
            <w:r w:rsidRPr="00C62BC1">
              <w:rPr>
                <w:rFonts w:ascii="Arial" w:hAnsi="Arial" w:cs="Arial"/>
                <w:sz w:val="20"/>
                <w:szCs w:val="20"/>
                <w:lang w:eastAsia="vi-VN"/>
              </w:rPr>
              <w:t>Đường biển</w:t>
            </w:r>
          </w:p>
        </w:tc>
        <w:tc>
          <w:tcPr>
            <w:tcW w:w="1782" w:type="dxa"/>
            <w:noWrap/>
            <w:vAlign w:val="center"/>
            <w:hideMark/>
          </w:tcPr>
          <w:p w14:paraId="24F6B5BB" w14:textId="77777777" w:rsidR="00E17CFD" w:rsidRPr="00C62BC1" w:rsidRDefault="00E17CFD" w:rsidP="00AE2668">
            <w:pPr>
              <w:ind w:right="484"/>
              <w:jc w:val="right"/>
              <w:rPr>
                <w:rFonts w:ascii="Arial" w:hAnsi="Arial" w:cs="Arial"/>
                <w:sz w:val="20"/>
                <w:szCs w:val="20"/>
              </w:rPr>
            </w:pPr>
            <w:r w:rsidRPr="00C62BC1">
              <w:rPr>
                <w:rFonts w:ascii="Arial" w:hAnsi="Arial" w:cs="Arial"/>
                <w:sz w:val="20"/>
                <w:szCs w:val="20"/>
              </w:rPr>
              <w:t>137,4</w:t>
            </w:r>
          </w:p>
        </w:tc>
        <w:tc>
          <w:tcPr>
            <w:tcW w:w="1852" w:type="dxa"/>
            <w:noWrap/>
            <w:vAlign w:val="center"/>
            <w:hideMark/>
          </w:tcPr>
          <w:p w14:paraId="27A696BC" w14:textId="77777777" w:rsidR="00E17CFD" w:rsidRPr="00C62BC1" w:rsidRDefault="00E17CFD" w:rsidP="00AE2668">
            <w:pPr>
              <w:ind w:right="484"/>
              <w:jc w:val="right"/>
              <w:rPr>
                <w:rFonts w:ascii="Arial" w:hAnsi="Arial" w:cs="Arial"/>
                <w:sz w:val="20"/>
                <w:szCs w:val="20"/>
              </w:rPr>
            </w:pPr>
            <w:r w:rsidRPr="00C62BC1">
              <w:rPr>
                <w:rFonts w:ascii="Arial" w:hAnsi="Arial" w:cs="Arial"/>
                <w:sz w:val="20"/>
                <w:szCs w:val="20"/>
              </w:rPr>
              <w:t>291,2</w:t>
            </w:r>
          </w:p>
        </w:tc>
        <w:tc>
          <w:tcPr>
            <w:tcW w:w="1749" w:type="dxa"/>
            <w:noWrap/>
            <w:vAlign w:val="center"/>
            <w:hideMark/>
          </w:tcPr>
          <w:p w14:paraId="3CF16EEF" w14:textId="77777777" w:rsidR="00E17CFD" w:rsidRPr="00C62BC1" w:rsidRDefault="00E17CFD" w:rsidP="00AE2668">
            <w:pPr>
              <w:ind w:right="484"/>
              <w:jc w:val="right"/>
              <w:rPr>
                <w:rFonts w:ascii="Arial" w:hAnsi="Arial" w:cs="Arial"/>
                <w:sz w:val="20"/>
                <w:szCs w:val="20"/>
              </w:rPr>
            </w:pPr>
            <w:r w:rsidRPr="00C62BC1">
              <w:rPr>
                <w:rFonts w:ascii="Arial" w:hAnsi="Arial" w:cs="Arial"/>
                <w:sz w:val="20"/>
                <w:szCs w:val="20"/>
              </w:rPr>
              <w:t>12,9</w:t>
            </w:r>
          </w:p>
        </w:tc>
        <w:tc>
          <w:tcPr>
            <w:tcW w:w="1480" w:type="dxa"/>
            <w:noWrap/>
            <w:vAlign w:val="center"/>
            <w:hideMark/>
          </w:tcPr>
          <w:p w14:paraId="153988FD" w14:textId="77777777" w:rsidR="00E17CFD" w:rsidRPr="00C62BC1" w:rsidRDefault="00E17CFD" w:rsidP="00AE2668">
            <w:pPr>
              <w:ind w:right="484"/>
              <w:jc w:val="right"/>
              <w:rPr>
                <w:rFonts w:ascii="Arial" w:hAnsi="Arial" w:cs="Arial"/>
                <w:sz w:val="20"/>
                <w:szCs w:val="20"/>
              </w:rPr>
            </w:pPr>
            <w:r w:rsidRPr="00C62BC1">
              <w:rPr>
                <w:rFonts w:ascii="Arial" w:hAnsi="Arial" w:cs="Arial"/>
                <w:sz w:val="20"/>
                <w:szCs w:val="20"/>
              </w:rPr>
              <w:t>16,5</w:t>
            </w:r>
          </w:p>
        </w:tc>
      </w:tr>
      <w:tr w:rsidR="00951742" w:rsidRPr="00C62BC1" w14:paraId="47E55DA6" w14:textId="77777777" w:rsidTr="00480E99">
        <w:trPr>
          <w:trHeight w:val="332"/>
          <w:jc w:val="center"/>
        </w:trPr>
        <w:tc>
          <w:tcPr>
            <w:tcW w:w="2178" w:type="dxa"/>
            <w:noWrap/>
            <w:vAlign w:val="center"/>
            <w:hideMark/>
          </w:tcPr>
          <w:p w14:paraId="1D9C7EE7" w14:textId="77777777" w:rsidR="00E17CFD" w:rsidRPr="00C62BC1" w:rsidRDefault="00E17CFD" w:rsidP="00AE2668">
            <w:pPr>
              <w:tabs>
                <w:tab w:val="left" w:pos="407"/>
              </w:tabs>
              <w:ind w:firstLine="182"/>
              <w:rPr>
                <w:rFonts w:ascii="Arial" w:hAnsi="Arial" w:cs="Arial"/>
                <w:sz w:val="20"/>
                <w:szCs w:val="20"/>
                <w:lang w:eastAsia="vi-VN"/>
              </w:rPr>
            </w:pPr>
            <w:r w:rsidRPr="00C62BC1">
              <w:rPr>
                <w:rFonts w:ascii="Arial" w:hAnsi="Arial" w:cs="Arial"/>
                <w:sz w:val="20"/>
                <w:szCs w:val="20"/>
                <w:lang w:eastAsia="vi-VN"/>
              </w:rPr>
              <w:t>Đường thủy nội địa</w:t>
            </w:r>
          </w:p>
        </w:tc>
        <w:tc>
          <w:tcPr>
            <w:tcW w:w="1782" w:type="dxa"/>
            <w:noWrap/>
            <w:vAlign w:val="center"/>
            <w:hideMark/>
          </w:tcPr>
          <w:p w14:paraId="17BD2ED9" w14:textId="77777777" w:rsidR="00E17CFD" w:rsidRPr="00C62BC1" w:rsidRDefault="00E17CFD" w:rsidP="00AE2668">
            <w:pPr>
              <w:ind w:right="484"/>
              <w:jc w:val="right"/>
              <w:rPr>
                <w:rFonts w:ascii="Arial" w:hAnsi="Arial" w:cs="Arial"/>
                <w:sz w:val="20"/>
                <w:szCs w:val="20"/>
              </w:rPr>
            </w:pPr>
            <w:r w:rsidRPr="00C62BC1">
              <w:rPr>
                <w:rFonts w:ascii="Arial" w:hAnsi="Arial" w:cs="Arial"/>
                <w:sz w:val="20"/>
                <w:szCs w:val="20"/>
              </w:rPr>
              <w:t>538,2</w:t>
            </w:r>
          </w:p>
        </w:tc>
        <w:tc>
          <w:tcPr>
            <w:tcW w:w="1852" w:type="dxa"/>
            <w:noWrap/>
            <w:vAlign w:val="center"/>
            <w:hideMark/>
          </w:tcPr>
          <w:p w14:paraId="4FBB06E2" w14:textId="77777777" w:rsidR="00E17CFD" w:rsidRPr="00C62BC1" w:rsidRDefault="00E17CFD" w:rsidP="00AE2668">
            <w:pPr>
              <w:ind w:right="484"/>
              <w:jc w:val="right"/>
              <w:rPr>
                <w:rFonts w:ascii="Arial" w:hAnsi="Arial" w:cs="Arial"/>
                <w:sz w:val="20"/>
                <w:szCs w:val="20"/>
              </w:rPr>
            </w:pPr>
            <w:r w:rsidRPr="00C62BC1">
              <w:rPr>
                <w:rFonts w:ascii="Arial" w:hAnsi="Arial" w:cs="Arial"/>
                <w:sz w:val="20"/>
                <w:szCs w:val="20"/>
              </w:rPr>
              <w:t>122,3</w:t>
            </w:r>
          </w:p>
        </w:tc>
        <w:tc>
          <w:tcPr>
            <w:tcW w:w="1749" w:type="dxa"/>
            <w:noWrap/>
            <w:vAlign w:val="center"/>
            <w:hideMark/>
          </w:tcPr>
          <w:p w14:paraId="5503F3F4" w14:textId="77777777" w:rsidR="00E17CFD" w:rsidRPr="00C62BC1" w:rsidRDefault="00E17CFD" w:rsidP="00AE2668">
            <w:pPr>
              <w:ind w:right="484"/>
              <w:jc w:val="right"/>
              <w:rPr>
                <w:rFonts w:ascii="Arial" w:hAnsi="Arial" w:cs="Arial"/>
                <w:sz w:val="20"/>
                <w:szCs w:val="20"/>
              </w:rPr>
            </w:pPr>
            <w:r w:rsidRPr="00C62BC1">
              <w:rPr>
                <w:rFonts w:ascii="Arial" w:hAnsi="Arial" w:cs="Arial"/>
                <w:sz w:val="20"/>
                <w:szCs w:val="20"/>
              </w:rPr>
              <w:t>11,7</w:t>
            </w:r>
          </w:p>
        </w:tc>
        <w:tc>
          <w:tcPr>
            <w:tcW w:w="1480" w:type="dxa"/>
            <w:noWrap/>
            <w:vAlign w:val="center"/>
            <w:hideMark/>
          </w:tcPr>
          <w:p w14:paraId="13B2A80B" w14:textId="77777777" w:rsidR="00E17CFD" w:rsidRPr="00C62BC1" w:rsidRDefault="00E17CFD" w:rsidP="00AE2668">
            <w:pPr>
              <w:ind w:right="484"/>
              <w:jc w:val="right"/>
              <w:rPr>
                <w:rFonts w:ascii="Arial" w:hAnsi="Arial" w:cs="Arial"/>
                <w:sz w:val="20"/>
                <w:szCs w:val="20"/>
              </w:rPr>
            </w:pPr>
            <w:r w:rsidRPr="00C62BC1">
              <w:rPr>
                <w:rFonts w:ascii="Arial" w:hAnsi="Arial" w:cs="Arial"/>
                <w:sz w:val="20"/>
                <w:szCs w:val="20"/>
              </w:rPr>
              <w:t>11,8</w:t>
            </w:r>
          </w:p>
        </w:tc>
      </w:tr>
      <w:tr w:rsidR="00951742" w:rsidRPr="00C62BC1" w14:paraId="1B269530" w14:textId="77777777" w:rsidTr="00480E99">
        <w:trPr>
          <w:trHeight w:val="332"/>
          <w:jc w:val="center"/>
        </w:trPr>
        <w:tc>
          <w:tcPr>
            <w:tcW w:w="2178" w:type="dxa"/>
            <w:noWrap/>
            <w:vAlign w:val="center"/>
            <w:hideMark/>
          </w:tcPr>
          <w:p w14:paraId="45469739" w14:textId="77777777" w:rsidR="00E17CFD" w:rsidRPr="00C62BC1" w:rsidRDefault="00E17CFD" w:rsidP="00AE2668">
            <w:pPr>
              <w:tabs>
                <w:tab w:val="left" w:pos="407"/>
              </w:tabs>
              <w:ind w:firstLine="182"/>
              <w:rPr>
                <w:rFonts w:ascii="Arial" w:hAnsi="Arial" w:cs="Arial"/>
                <w:sz w:val="20"/>
                <w:szCs w:val="20"/>
                <w:lang w:eastAsia="vi-VN"/>
              </w:rPr>
            </w:pPr>
            <w:r w:rsidRPr="00C62BC1">
              <w:rPr>
                <w:rFonts w:ascii="Arial" w:hAnsi="Arial" w:cs="Arial"/>
                <w:sz w:val="20"/>
                <w:szCs w:val="20"/>
                <w:lang w:eastAsia="vi-VN"/>
              </w:rPr>
              <w:t>Đường bộ</w:t>
            </w:r>
          </w:p>
        </w:tc>
        <w:tc>
          <w:tcPr>
            <w:tcW w:w="1782" w:type="dxa"/>
            <w:noWrap/>
            <w:vAlign w:val="center"/>
            <w:hideMark/>
          </w:tcPr>
          <w:p w14:paraId="40245174" w14:textId="77777777" w:rsidR="00E17CFD" w:rsidRPr="00C62BC1" w:rsidRDefault="00E17CFD" w:rsidP="00AE2668">
            <w:pPr>
              <w:ind w:right="484"/>
              <w:jc w:val="right"/>
              <w:rPr>
                <w:rFonts w:ascii="Arial" w:hAnsi="Arial" w:cs="Arial"/>
                <w:sz w:val="20"/>
                <w:szCs w:val="20"/>
              </w:rPr>
            </w:pPr>
            <w:r w:rsidRPr="00C62BC1">
              <w:rPr>
                <w:rFonts w:ascii="Arial" w:hAnsi="Arial" w:cs="Arial"/>
                <w:sz w:val="20"/>
                <w:szCs w:val="20"/>
              </w:rPr>
              <w:t>2.092,9</w:t>
            </w:r>
          </w:p>
        </w:tc>
        <w:tc>
          <w:tcPr>
            <w:tcW w:w="1852" w:type="dxa"/>
            <w:noWrap/>
            <w:vAlign w:val="center"/>
            <w:hideMark/>
          </w:tcPr>
          <w:p w14:paraId="4C55B09F" w14:textId="77777777" w:rsidR="00E17CFD" w:rsidRPr="00C62BC1" w:rsidRDefault="00E17CFD" w:rsidP="00AE2668">
            <w:pPr>
              <w:ind w:right="484"/>
              <w:jc w:val="right"/>
              <w:rPr>
                <w:rFonts w:ascii="Arial" w:hAnsi="Arial" w:cs="Arial"/>
                <w:sz w:val="20"/>
                <w:szCs w:val="20"/>
              </w:rPr>
            </w:pPr>
            <w:r w:rsidRPr="00C62BC1">
              <w:rPr>
                <w:rFonts w:ascii="Arial" w:hAnsi="Arial" w:cs="Arial"/>
                <w:sz w:val="20"/>
                <w:szCs w:val="20"/>
              </w:rPr>
              <w:t>136,8</w:t>
            </w:r>
          </w:p>
        </w:tc>
        <w:tc>
          <w:tcPr>
            <w:tcW w:w="1749" w:type="dxa"/>
            <w:noWrap/>
            <w:vAlign w:val="center"/>
            <w:hideMark/>
          </w:tcPr>
          <w:p w14:paraId="0E65A9AB" w14:textId="77777777" w:rsidR="00E17CFD" w:rsidRPr="00C62BC1" w:rsidRDefault="00E17CFD" w:rsidP="00AE2668">
            <w:pPr>
              <w:ind w:right="484"/>
              <w:jc w:val="right"/>
              <w:rPr>
                <w:rFonts w:ascii="Arial" w:hAnsi="Arial" w:cs="Arial"/>
                <w:sz w:val="20"/>
                <w:szCs w:val="20"/>
              </w:rPr>
            </w:pPr>
            <w:r w:rsidRPr="00C62BC1">
              <w:rPr>
                <w:rFonts w:ascii="Arial" w:hAnsi="Arial" w:cs="Arial"/>
                <w:sz w:val="20"/>
                <w:szCs w:val="20"/>
              </w:rPr>
              <w:t>15,7</w:t>
            </w:r>
          </w:p>
        </w:tc>
        <w:tc>
          <w:tcPr>
            <w:tcW w:w="1480" w:type="dxa"/>
            <w:noWrap/>
            <w:vAlign w:val="center"/>
            <w:hideMark/>
          </w:tcPr>
          <w:p w14:paraId="6D2AB9CB" w14:textId="77777777" w:rsidR="00E17CFD" w:rsidRPr="00C62BC1" w:rsidRDefault="00E17CFD" w:rsidP="00AE2668">
            <w:pPr>
              <w:ind w:right="484"/>
              <w:jc w:val="right"/>
              <w:rPr>
                <w:rFonts w:ascii="Arial" w:hAnsi="Arial" w:cs="Arial"/>
                <w:sz w:val="20"/>
                <w:szCs w:val="20"/>
              </w:rPr>
            </w:pPr>
            <w:r w:rsidRPr="00C62BC1">
              <w:rPr>
                <w:rFonts w:ascii="Arial" w:hAnsi="Arial" w:cs="Arial"/>
                <w:sz w:val="20"/>
                <w:szCs w:val="20"/>
              </w:rPr>
              <w:t>12,1</w:t>
            </w:r>
          </w:p>
        </w:tc>
      </w:tr>
      <w:tr w:rsidR="00951742" w:rsidRPr="00C62BC1" w14:paraId="0CAFDD8B" w14:textId="77777777" w:rsidTr="00480E99">
        <w:trPr>
          <w:trHeight w:val="332"/>
          <w:jc w:val="center"/>
        </w:trPr>
        <w:tc>
          <w:tcPr>
            <w:tcW w:w="2178" w:type="dxa"/>
            <w:tcBorders>
              <w:top w:val="nil"/>
              <w:left w:val="nil"/>
              <w:bottom w:val="single" w:sz="4" w:space="0" w:color="auto"/>
              <w:right w:val="nil"/>
            </w:tcBorders>
            <w:noWrap/>
            <w:vAlign w:val="center"/>
            <w:hideMark/>
          </w:tcPr>
          <w:p w14:paraId="32361068" w14:textId="77777777" w:rsidR="00E17CFD" w:rsidRPr="00C62BC1" w:rsidRDefault="00E17CFD" w:rsidP="00AE2668">
            <w:pPr>
              <w:tabs>
                <w:tab w:val="left" w:pos="407"/>
              </w:tabs>
              <w:ind w:firstLine="182"/>
              <w:rPr>
                <w:rFonts w:ascii="Arial" w:hAnsi="Arial" w:cs="Arial"/>
                <w:sz w:val="20"/>
                <w:szCs w:val="20"/>
                <w:lang w:eastAsia="vi-VN"/>
              </w:rPr>
            </w:pPr>
            <w:r w:rsidRPr="00C62BC1">
              <w:rPr>
                <w:rFonts w:ascii="Arial" w:hAnsi="Arial" w:cs="Arial"/>
                <w:sz w:val="20"/>
                <w:szCs w:val="20"/>
                <w:lang w:eastAsia="vi-VN"/>
              </w:rPr>
              <w:t>Hàng không</w:t>
            </w:r>
          </w:p>
        </w:tc>
        <w:tc>
          <w:tcPr>
            <w:tcW w:w="1782" w:type="dxa"/>
            <w:tcBorders>
              <w:top w:val="nil"/>
              <w:left w:val="nil"/>
              <w:bottom w:val="single" w:sz="4" w:space="0" w:color="auto"/>
              <w:right w:val="nil"/>
            </w:tcBorders>
            <w:noWrap/>
            <w:vAlign w:val="center"/>
            <w:hideMark/>
          </w:tcPr>
          <w:p w14:paraId="5F202193" w14:textId="77777777" w:rsidR="00E17CFD" w:rsidRPr="00C62BC1" w:rsidRDefault="00E17CFD" w:rsidP="00AE2668">
            <w:pPr>
              <w:ind w:right="484"/>
              <w:jc w:val="right"/>
              <w:rPr>
                <w:rFonts w:ascii="Arial" w:hAnsi="Arial" w:cs="Arial"/>
                <w:sz w:val="20"/>
                <w:szCs w:val="20"/>
              </w:rPr>
            </w:pPr>
            <w:r w:rsidRPr="00C62BC1">
              <w:rPr>
                <w:rFonts w:ascii="Arial" w:hAnsi="Arial" w:cs="Arial"/>
                <w:sz w:val="20"/>
                <w:szCs w:val="20"/>
              </w:rPr>
              <w:t>0,4</w:t>
            </w:r>
          </w:p>
        </w:tc>
        <w:tc>
          <w:tcPr>
            <w:tcW w:w="1852" w:type="dxa"/>
            <w:tcBorders>
              <w:top w:val="nil"/>
              <w:left w:val="nil"/>
              <w:bottom w:val="single" w:sz="4" w:space="0" w:color="auto"/>
              <w:right w:val="nil"/>
            </w:tcBorders>
            <w:noWrap/>
            <w:vAlign w:val="center"/>
            <w:hideMark/>
          </w:tcPr>
          <w:p w14:paraId="6EB4DC4A" w14:textId="77777777" w:rsidR="00E17CFD" w:rsidRPr="00C62BC1" w:rsidRDefault="00E17CFD" w:rsidP="00AE2668">
            <w:pPr>
              <w:ind w:right="484"/>
              <w:jc w:val="right"/>
              <w:rPr>
                <w:rFonts w:ascii="Arial" w:hAnsi="Arial" w:cs="Arial"/>
                <w:sz w:val="20"/>
                <w:szCs w:val="20"/>
              </w:rPr>
            </w:pPr>
            <w:r w:rsidRPr="00C62BC1">
              <w:rPr>
                <w:rFonts w:ascii="Arial" w:hAnsi="Arial" w:cs="Arial"/>
                <w:sz w:val="20"/>
                <w:szCs w:val="20"/>
              </w:rPr>
              <w:t>8,9</w:t>
            </w:r>
          </w:p>
        </w:tc>
        <w:tc>
          <w:tcPr>
            <w:tcW w:w="1749" w:type="dxa"/>
            <w:tcBorders>
              <w:top w:val="nil"/>
              <w:left w:val="nil"/>
              <w:bottom w:val="single" w:sz="4" w:space="0" w:color="auto"/>
              <w:right w:val="nil"/>
            </w:tcBorders>
            <w:noWrap/>
            <w:vAlign w:val="center"/>
            <w:hideMark/>
          </w:tcPr>
          <w:p w14:paraId="2B74058F" w14:textId="77777777" w:rsidR="00E17CFD" w:rsidRPr="00C62BC1" w:rsidRDefault="00E17CFD" w:rsidP="00AE2668">
            <w:pPr>
              <w:ind w:right="484"/>
              <w:jc w:val="right"/>
              <w:rPr>
                <w:rFonts w:ascii="Arial" w:hAnsi="Arial" w:cs="Arial"/>
                <w:sz w:val="20"/>
                <w:szCs w:val="20"/>
              </w:rPr>
            </w:pPr>
            <w:r w:rsidRPr="00C62BC1">
              <w:rPr>
                <w:rFonts w:ascii="Arial" w:hAnsi="Arial" w:cs="Arial"/>
                <w:sz w:val="20"/>
                <w:szCs w:val="20"/>
              </w:rPr>
              <w:t>4,6</w:t>
            </w:r>
          </w:p>
        </w:tc>
        <w:tc>
          <w:tcPr>
            <w:tcW w:w="1480" w:type="dxa"/>
            <w:tcBorders>
              <w:top w:val="nil"/>
              <w:left w:val="nil"/>
              <w:bottom w:val="single" w:sz="4" w:space="0" w:color="auto"/>
              <w:right w:val="nil"/>
            </w:tcBorders>
            <w:noWrap/>
            <w:vAlign w:val="center"/>
            <w:hideMark/>
          </w:tcPr>
          <w:p w14:paraId="1D061066" w14:textId="77777777" w:rsidR="00E17CFD" w:rsidRPr="00C62BC1" w:rsidRDefault="00E17CFD" w:rsidP="00AE2668">
            <w:pPr>
              <w:ind w:right="484"/>
              <w:jc w:val="right"/>
              <w:rPr>
                <w:rFonts w:ascii="Arial" w:hAnsi="Arial" w:cs="Arial"/>
                <w:sz w:val="20"/>
                <w:szCs w:val="20"/>
              </w:rPr>
            </w:pPr>
            <w:r w:rsidRPr="00C62BC1">
              <w:rPr>
                <w:rFonts w:ascii="Arial" w:hAnsi="Arial" w:cs="Arial"/>
                <w:sz w:val="20"/>
                <w:szCs w:val="20"/>
              </w:rPr>
              <w:t>0,7</w:t>
            </w:r>
          </w:p>
        </w:tc>
      </w:tr>
    </w:tbl>
    <w:p w14:paraId="51D2D1B8" w14:textId="77777777" w:rsidR="00E17CFD" w:rsidRPr="00C62BC1" w:rsidRDefault="00E17CFD" w:rsidP="00AE2668">
      <w:pPr>
        <w:spacing w:before="120" w:after="120" w:line="245" w:lineRule="auto"/>
        <w:ind w:firstLine="720"/>
        <w:jc w:val="both"/>
        <w:rPr>
          <w:b/>
          <w:bCs/>
          <w:i/>
        </w:rPr>
      </w:pPr>
      <w:r w:rsidRPr="00C62BC1">
        <w:rPr>
          <w:b/>
          <w:bCs/>
          <w:i/>
          <w:iCs/>
        </w:rPr>
        <w:t>đ) Khách quốc tế đến Việt Nam</w:t>
      </w:r>
      <w:r w:rsidRPr="00C62BC1">
        <w:rPr>
          <w:rFonts w:eastAsia="Calibri"/>
          <w:i/>
          <w:iCs/>
          <w:vertAlign w:val="superscript"/>
        </w:rPr>
        <w:footnoteReference w:id="33"/>
      </w:r>
    </w:p>
    <w:p w14:paraId="1FC470D7" w14:textId="77777777" w:rsidR="00E17CFD" w:rsidRPr="00C62BC1" w:rsidRDefault="00E17CFD" w:rsidP="00AE2668">
      <w:pPr>
        <w:spacing w:before="120" w:after="120" w:line="245" w:lineRule="auto"/>
        <w:ind w:firstLine="720"/>
        <w:jc w:val="both"/>
        <w:rPr>
          <w:rFonts w:eastAsia="Calibri"/>
          <w:i/>
          <w:iCs/>
          <w:lang w:val="fr-FR"/>
        </w:rPr>
      </w:pPr>
      <w:r w:rsidRPr="00C62BC1">
        <w:rPr>
          <w:rFonts w:eastAsia="Calibri"/>
          <w:i/>
          <w:iCs/>
          <w:lang w:val="fr-FR"/>
        </w:rPr>
        <w:t>Chính sách thị thực thuận lợi, các chương trình quảng bá, xúc tiến du lịch được đẩy mạnh cùng với tổ chức các sự kiện quy m</w:t>
      </w:r>
      <w:r w:rsidRPr="00C62BC1">
        <w:rPr>
          <w:rFonts w:eastAsia="Calibri" w:hint="eastAsia"/>
          <w:i/>
          <w:iCs/>
          <w:lang w:val="fr-FR"/>
        </w:rPr>
        <w:t>ô</w:t>
      </w:r>
      <w:r w:rsidRPr="00C62BC1">
        <w:rPr>
          <w:rFonts w:eastAsia="Calibri"/>
          <w:i/>
          <w:iCs/>
          <w:lang w:val="fr-FR"/>
        </w:rPr>
        <w:t xml:space="preserve"> lớn ở nhiều địa phương đã thu hút đông đảo khách quốc tế đến Việt Nam. </w:t>
      </w:r>
    </w:p>
    <w:p w14:paraId="4E299849" w14:textId="77777777" w:rsidR="00E17CFD" w:rsidRPr="00C62BC1" w:rsidRDefault="00E17CFD" w:rsidP="00AE2668">
      <w:pPr>
        <w:spacing w:before="120" w:after="120" w:line="245" w:lineRule="auto"/>
        <w:ind w:firstLine="720"/>
        <w:jc w:val="both"/>
        <w:rPr>
          <w:rFonts w:ascii="Arial" w:hAnsi="Arial" w:cs="Arial"/>
          <w:b/>
          <w:sz w:val="24"/>
          <w:szCs w:val="24"/>
          <w:lang w:val="fr-FR"/>
        </w:rPr>
      </w:pPr>
      <w:r w:rsidRPr="00C62BC1">
        <w:rPr>
          <w:rFonts w:eastAsia="Calibri"/>
          <w:lang w:val="fr-FR"/>
        </w:rPr>
        <w:t>Trong tháng Mười Một</w:t>
      </w:r>
      <w:r w:rsidRPr="00C62BC1">
        <w:rPr>
          <w:rFonts w:eastAsia="Calibri"/>
          <w:vertAlign w:val="superscript"/>
          <w:lang w:val="fr-FR"/>
        </w:rPr>
        <w:footnoteReference w:id="34"/>
      </w:r>
      <w:r w:rsidRPr="00C62BC1">
        <w:rPr>
          <w:rFonts w:eastAsia="Calibri"/>
          <w:lang w:val="fr-FR"/>
        </w:rPr>
        <w:t xml:space="preserve">, khách quốc tế đến nước ta đạt gần 1,98 triệu lượt người, tăng 14,2% so với tháng trước và tăng 15,6% so với cùng kỳ năm trước. Tính chung mười một tháng năm 2025, khách quốc tế đến Việt Nam đạt 19,15 </w:t>
      </w:r>
      <w:r w:rsidRPr="00C62BC1">
        <w:rPr>
          <w:rFonts w:eastAsia="Calibri"/>
          <w:lang w:val="fr-FR"/>
        </w:rPr>
        <w:lastRenderedPageBreak/>
        <w:t>triệu lượt người, tăng 20,9% so với cùng kỳ năm trước. Trong đó, khách đến bằng đường hàng không đạt 16,2 triệu lượt người, chiếm 84,5% lượng khách quốc tế đến và tăng 21,0% so với cùng kỳ năm trước; bằng đường bộ đạt 2,7 triệu lượt người, chiếm 14,3% và tăng 22,2%; bằng đường biển đạt 228,8 nghìn lượt người, chiếm 1,2% và tăng 3,4%.</w:t>
      </w:r>
    </w:p>
    <w:p w14:paraId="2CC3FA7E" w14:textId="77777777" w:rsidR="00E17CFD" w:rsidRPr="00C62BC1" w:rsidRDefault="00E17CFD" w:rsidP="00E17CFD">
      <w:pPr>
        <w:spacing w:before="80" w:after="120"/>
        <w:jc w:val="center"/>
        <w:rPr>
          <w:rFonts w:ascii="Arial" w:hAnsi="Arial" w:cs="Arial"/>
          <w:b/>
          <w:sz w:val="24"/>
          <w:szCs w:val="24"/>
          <w:lang w:val="fr-FR"/>
        </w:rPr>
      </w:pPr>
      <w:r w:rsidRPr="00C62BC1">
        <w:rPr>
          <w:rFonts w:ascii="Arial" w:hAnsi="Arial" w:cs="Arial"/>
          <w:b/>
          <w:sz w:val="24"/>
          <w:szCs w:val="24"/>
          <w:lang w:val="fr-FR"/>
        </w:rPr>
        <w:t>Hình 16. Khách quốc tế đến Việt Nam mười một tháng năm 2025</w:t>
      </w:r>
      <w:r w:rsidRPr="00C62BC1">
        <w:rPr>
          <w:rFonts w:ascii="Arial" w:hAnsi="Arial" w:cs="Arial"/>
          <w:b/>
          <w:sz w:val="24"/>
          <w:szCs w:val="24"/>
          <w:lang w:val="fr-FR"/>
        </w:rPr>
        <w:br/>
        <w:t>phân theo vùng lãnh thổ</w:t>
      </w:r>
    </w:p>
    <w:p w14:paraId="756D82AC" w14:textId="77777777" w:rsidR="00E17CFD" w:rsidRPr="00C62BC1" w:rsidRDefault="00E17CFD" w:rsidP="00E17CFD">
      <w:pPr>
        <w:spacing w:before="80" w:after="120"/>
        <w:jc w:val="center"/>
        <w:rPr>
          <w:rFonts w:ascii="Arial" w:hAnsi="Arial" w:cs="Arial"/>
          <w:b/>
          <w:sz w:val="24"/>
          <w:szCs w:val="24"/>
          <w:lang w:val="fr-FR"/>
        </w:rPr>
      </w:pPr>
      <w:r w:rsidRPr="00C62BC1">
        <w:rPr>
          <w:noProof/>
        </w:rPr>
        <w:drawing>
          <wp:inline distT="0" distB="0" distL="0" distR="0" wp14:anchorId="3F60421B" wp14:editId="22BC9C47">
            <wp:extent cx="5699082" cy="2348180"/>
            <wp:effectExtent l="0" t="0" r="0" b="0"/>
            <wp:docPr id="1045865962"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865962" name="Picture 1" descr="A screenshot of a graph&#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2354" cy="2353648"/>
                    </a:xfrm>
                    <a:prstGeom prst="rect">
                      <a:avLst/>
                    </a:prstGeom>
                    <a:noFill/>
                    <a:ln>
                      <a:noFill/>
                    </a:ln>
                  </pic:spPr>
                </pic:pic>
              </a:graphicData>
            </a:graphic>
          </wp:inline>
        </w:drawing>
      </w:r>
    </w:p>
    <w:p w14:paraId="37C61C78" w14:textId="77777777" w:rsidR="00EF7A8C" w:rsidRPr="00C62BC1" w:rsidRDefault="00EF7A8C" w:rsidP="00AE2668">
      <w:pPr>
        <w:spacing w:after="120" w:line="252" w:lineRule="auto"/>
        <w:ind w:firstLine="720"/>
        <w:jc w:val="both"/>
        <w:rPr>
          <w:b/>
          <w:bCs/>
          <w:lang w:val="fr-FR"/>
        </w:rPr>
      </w:pPr>
      <w:r w:rsidRPr="00C62BC1">
        <w:rPr>
          <w:b/>
          <w:bCs/>
          <w:lang w:val="fr-FR"/>
        </w:rPr>
        <w:t>7. Một số tình hình xã hội</w:t>
      </w:r>
    </w:p>
    <w:p w14:paraId="463F0B79" w14:textId="77777777" w:rsidR="00EF7A8C" w:rsidRPr="00C62BC1" w:rsidRDefault="00EF7A8C" w:rsidP="00AE2668">
      <w:pPr>
        <w:tabs>
          <w:tab w:val="left" w:pos="709"/>
          <w:tab w:val="left" w:pos="1134"/>
        </w:tabs>
        <w:spacing w:after="120" w:line="252" w:lineRule="auto"/>
        <w:ind w:firstLine="720"/>
        <w:jc w:val="both"/>
        <w:rPr>
          <w:b/>
          <w:i/>
          <w:lang w:val="fr-FR"/>
        </w:rPr>
      </w:pPr>
      <w:r w:rsidRPr="00C62BC1">
        <w:rPr>
          <w:b/>
          <w:i/>
          <w:lang w:val="fr-FR"/>
        </w:rPr>
        <w:t xml:space="preserve">a) Đời sống dân cư </w:t>
      </w:r>
    </w:p>
    <w:p w14:paraId="7BA7FFAA" w14:textId="77777777" w:rsidR="00EF7A8C" w:rsidRPr="00C62BC1" w:rsidRDefault="00EF7A8C" w:rsidP="00AE2668">
      <w:pPr>
        <w:tabs>
          <w:tab w:val="left" w:pos="851"/>
        </w:tabs>
        <w:spacing w:after="120" w:line="252" w:lineRule="auto"/>
        <w:ind w:firstLine="720"/>
        <w:jc w:val="both"/>
        <w:rPr>
          <w:bCs/>
          <w:snapToGrid w:val="0"/>
          <w:lang w:val="fr-FR"/>
        </w:rPr>
      </w:pPr>
      <w:r w:rsidRPr="00C62BC1">
        <w:rPr>
          <w:bCs/>
          <w:snapToGrid w:val="0"/>
          <w:lang w:val="fr-FR"/>
        </w:rPr>
        <w:t xml:space="preserve">Theo kết quả sơ bộ </w:t>
      </w:r>
      <w:r w:rsidRPr="00C62BC1">
        <w:rPr>
          <w:lang w:val="fr-FR"/>
        </w:rPr>
        <w:t>Điều tra lao động việc làm</w:t>
      </w:r>
      <w:r w:rsidRPr="00C62BC1">
        <w:rPr>
          <w:bCs/>
          <w:snapToGrid w:val="0"/>
          <w:lang w:val="fr-FR"/>
        </w:rPr>
        <w:t>, t</w:t>
      </w:r>
      <w:r w:rsidRPr="00C62BC1">
        <w:rPr>
          <w:snapToGrid w:val="0"/>
          <w:lang w:val="fr-FR"/>
        </w:rPr>
        <w:t xml:space="preserve">ỷ lệ hộ đánh giá có thu nhập tháng Mười Một không thay đổi và tăng lên so với tháng cùng kỳ năm trước là </w:t>
      </w:r>
      <w:r w:rsidRPr="00C62BC1">
        <w:rPr>
          <w:bCs/>
          <w:snapToGrid w:val="0"/>
          <w:lang w:val="fr-FR"/>
        </w:rPr>
        <w:t>96,4%</w:t>
      </w:r>
      <w:r w:rsidRPr="00C62BC1">
        <w:rPr>
          <w:snapToGrid w:val="0"/>
          <w:lang w:val="fr-FR"/>
        </w:rPr>
        <w:t xml:space="preserve"> (tăng 0,3 điểm phần trăm so với kỳ báo cáo tháng trước và </w:t>
      </w:r>
      <w:r w:rsidRPr="00C62BC1">
        <w:rPr>
          <w:bCs/>
          <w:snapToGrid w:val="0"/>
          <w:lang w:val="fr-FR"/>
        </w:rPr>
        <w:t>tăng 0,2 điểm phần trăm so với cùng kỳ năm trước</w:t>
      </w:r>
      <w:r w:rsidRPr="00C62BC1">
        <w:rPr>
          <w:snapToGrid w:val="0"/>
          <w:lang w:val="fr-FR"/>
        </w:rPr>
        <w:t>);</w:t>
      </w:r>
      <w:r w:rsidRPr="00C62BC1">
        <w:rPr>
          <w:bCs/>
          <w:snapToGrid w:val="0"/>
          <w:lang w:val="fr-FR"/>
        </w:rPr>
        <w:t xml:space="preserve"> tỷ lệ hộ đánh giá có thu nhập giảm và không biết là 3,6%.</w:t>
      </w:r>
    </w:p>
    <w:p w14:paraId="77080D5F" w14:textId="77777777" w:rsidR="00EF7A8C" w:rsidRPr="00C62BC1" w:rsidRDefault="00EF7A8C" w:rsidP="00AE2668">
      <w:pPr>
        <w:spacing w:after="120" w:line="252" w:lineRule="auto"/>
        <w:ind w:firstLine="720"/>
        <w:jc w:val="both"/>
        <w:rPr>
          <w:bCs/>
          <w:snapToGrid w:val="0"/>
          <w:spacing w:val="-4"/>
          <w:lang w:val="fr-FR"/>
        </w:rPr>
      </w:pPr>
      <w:r w:rsidRPr="00C62BC1">
        <w:rPr>
          <w:bCs/>
          <w:snapToGrid w:val="0"/>
          <w:spacing w:val="-4"/>
          <w:lang w:val="fr-FR"/>
        </w:rPr>
        <w:t>Các hộ có thu nhập tháng Mười Một giảm so với cùng kỳ năm trước nhận định các nguyên nhân</w:t>
      </w:r>
      <w:r w:rsidRPr="00C62BC1">
        <w:rPr>
          <w:bCs/>
          <w:snapToGrid w:val="0"/>
          <w:spacing w:val="-4"/>
          <w:vertAlign w:val="superscript"/>
          <w:lang w:val="nl-NL"/>
        </w:rPr>
        <w:footnoteReference w:id="35"/>
      </w:r>
      <w:r w:rsidRPr="00C62BC1">
        <w:rPr>
          <w:bCs/>
          <w:snapToGrid w:val="0"/>
          <w:spacing w:val="-4"/>
          <w:lang w:val="fr-FR"/>
        </w:rPr>
        <w:t xml:space="preserve"> chủ yếu là do: Có thành viên hộ mất việc làm hoặc tạm nghỉ việc (chiếm </w:t>
      </w:r>
      <w:r w:rsidRPr="00C62BC1">
        <w:rPr>
          <w:bCs/>
          <w:snapToGrid w:val="0"/>
          <w:spacing w:val="-2"/>
          <w:lang w:val="fr-FR"/>
        </w:rPr>
        <w:t>36,8</w:t>
      </w:r>
      <w:r w:rsidRPr="00C62BC1">
        <w:rPr>
          <w:bCs/>
          <w:snapToGrid w:val="0"/>
          <w:spacing w:val="-4"/>
          <w:lang w:val="fr-FR"/>
        </w:rPr>
        <w:t xml:space="preserve">%); </w:t>
      </w:r>
      <w:r w:rsidRPr="00C62BC1">
        <w:rPr>
          <w:iCs/>
          <w:snapToGrid w:val="0"/>
          <w:spacing w:val="-2"/>
          <w:lang w:val="fr-FR"/>
        </w:rPr>
        <w:t xml:space="preserve">ảnh hưởng của thiên tai (26,6%); </w:t>
      </w:r>
      <w:r w:rsidRPr="00C62BC1">
        <w:rPr>
          <w:bCs/>
          <w:snapToGrid w:val="0"/>
          <w:spacing w:val="-4"/>
          <w:lang w:val="fr-FR"/>
        </w:rPr>
        <w:t xml:space="preserve">quy mô các hoạt động </w:t>
      </w:r>
      <w:r w:rsidRPr="00C62BC1">
        <w:rPr>
          <w:bCs/>
          <w:snapToGrid w:val="0"/>
          <w:spacing w:val="-4"/>
          <w:lang w:val="vi-VN"/>
        </w:rPr>
        <w:t>sản xuất kinh doanh</w:t>
      </w:r>
      <w:r w:rsidRPr="00C62BC1">
        <w:rPr>
          <w:bCs/>
          <w:snapToGrid w:val="0"/>
          <w:spacing w:val="-4"/>
          <w:lang w:val="fr-FR"/>
        </w:rPr>
        <w:t xml:space="preserve"> của hộ giảm (21,0%); chi phí đầu vào cho các hoạt động </w:t>
      </w:r>
      <w:r w:rsidRPr="00C62BC1">
        <w:rPr>
          <w:bCs/>
          <w:snapToGrid w:val="0"/>
          <w:spacing w:val="-4"/>
          <w:lang w:val="vi-VN"/>
        </w:rPr>
        <w:t>sản xuất kinh doanh</w:t>
      </w:r>
      <w:r w:rsidRPr="00C62BC1">
        <w:rPr>
          <w:bCs/>
          <w:snapToGrid w:val="0"/>
          <w:spacing w:val="-4"/>
          <w:lang w:val="fr-FR"/>
        </w:rPr>
        <w:t xml:space="preserve"> của hộ tăng (</w:t>
      </w:r>
      <w:r w:rsidRPr="00C62BC1">
        <w:rPr>
          <w:bCs/>
          <w:snapToGrid w:val="0"/>
          <w:spacing w:val="-2"/>
          <w:lang w:val="fr-FR"/>
        </w:rPr>
        <w:t>16,8</w:t>
      </w:r>
      <w:r w:rsidRPr="00C62BC1">
        <w:rPr>
          <w:bCs/>
          <w:snapToGrid w:val="0"/>
          <w:spacing w:val="-4"/>
          <w:lang w:val="fr-FR"/>
        </w:rPr>
        <w:t xml:space="preserve">%); giá bán các sản phẩm từ các hoạt động </w:t>
      </w:r>
      <w:r w:rsidRPr="00C62BC1">
        <w:rPr>
          <w:bCs/>
          <w:snapToGrid w:val="0"/>
          <w:spacing w:val="-4"/>
          <w:lang w:val="vi-VN"/>
        </w:rPr>
        <w:t>sản xuất kinh doanh</w:t>
      </w:r>
      <w:r w:rsidRPr="00C62BC1">
        <w:rPr>
          <w:bCs/>
          <w:snapToGrid w:val="0"/>
          <w:spacing w:val="-4"/>
          <w:lang w:val="fr-FR"/>
        </w:rPr>
        <w:t xml:space="preserve"> của hộ giảm (</w:t>
      </w:r>
      <w:r w:rsidRPr="00C62BC1">
        <w:rPr>
          <w:bCs/>
          <w:snapToGrid w:val="0"/>
          <w:spacing w:val="-2"/>
          <w:lang w:val="fr-FR"/>
        </w:rPr>
        <w:t>15,3%)</w:t>
      </w:r>
      <w:r w:rsidRPr="00C62BC1">
        <w:rPr>
          <w:bCs/>
          <w:snapToGrid w:val="0"/>
          <w:spacing w:val="-4"/>
          <w:lang w:val="fr-FR"/>
        </w:rPr>
        <w:t>.</w:t>
      </w:r>
    </w:p>
    <w:p w14:paraId="0AF5F604" w14:textId="21D0A216" w:rsidR="00EF7A8C" w:rsidRPr="00BD4442" w:rsidRDefault="00EF7A8C" w:rsidP="00AE2668">
      <w:pPr>
        <w:spacing w:after="120" w:line="252" w:lineRule="auto"/>
        <w:ind w:firstLine="720"/>
        <w:jc w:val="both"/>
        <w:rPr>
          <w:bCs/>
          <w:snapToGrid w:val="0"/>
          <w:spacing w:val="-4"/>
          <w:lang w:val="fr-FR"/>
        </w:rPr>
      </w:pPr>
      <w:r w:rsidRPr="00BD4442">
        <w:rPr>
          <w:bCs/>
          <w:snapToGrid w:val="0"/>
          <w:spacing w:val="-4"/>
          <w:lang w:val="fr-FR"/>
        </w:rPr>
        <w:t>Trong mười một tháng năm 2025, có 30,0% hộ</w:t>
      </w:r>
      <w:r w:rsidR="00A9012A" w:rsidRPr="00BD4442">
        <w:rPr>
          <w:bCs/>
          <w:snapToGrid w:val="0"/>
          <w:spacing w:val="-4"/>
          <w:lang w:val="fr-FR"/>
        </w:rPr>
        <w:t xml:space="preserve"> được phỏng vấn </w:t>
      </w:r>
      <w:r w:rsidRPr="00BD4442">
        <w:rPr>
          <w:bCs/>
          <w:snapToGrid w:val="0"/>
          <w:spacing w:val="-4"/>
          <w:lang w:val="fr-FR"/>
        </w:rPr>
        <w:t>cho biết đã trải qua ít nhất một sự kiện gây ảnh hưởng tiêu cực đến đời sống gia đình. Trong số các hộ chịu ảnh hưởng tiêu cực của các sự kiện, 28,6% hộ đang phải chịu những ảnh hưởng do giá cả hàng hóa, dịch vụ tăng cao; 2,4% hộ chịu ảnh hưởng tiêu cực từ dịch bệnh đối với con người; 3,2% hộ chịu ảnh hưởng tiêu cực từ thiên tai và 2,3% hộ chịu ảnh hưởng tiêu cực từ dịch bệnh đối với vật nuôi, cây trồng.</w:t>
      </w:r>
    </w:p>
    <w:p w14:paraId="18EBBEB6" w14:textId="77777777" w:rsidR="00EF7A8C" w:rsidRPr="00C62BC1" w:rsidRDefault="00EF7A8C" w:rsidP="00AE2668">
      <w:pPr>
        <w:tabs>
          <w:tab w:val="left" w:pos="851"/>
        </w:tabs>
        <w:spacing w:after="120" w:line="252" w:lineRule="auto"/>
        <w:ind w:firstLine="720"/>
        <w:jc w:val="both"/>
        <w:rPr>
          <w:bCs/>
          <w:snapToGrid w:val="0"/>
          <w:lang w:val="fr-FR"/>
        </w:rPr>
      </w:pPr>
      <w:r w:rsidRPr="00C62BC1">
        <w:rPr>
          <w:bCs/>
          <w:snapToGrid w:val="0"/>
          <w:lang w:val="fr-FR"/>
        </w:rPr>
        <w:lastRenderedPageBreak/>
        <w:t>Trong mười một tháng năm</w:t>
      </w:r>
      <w:r w:rsidRPr="00C62BC1">
        <w:rPr>
          <w:bCs/>
          <w:snapToGrid w:val="0"/>
          <w:lang w:val="vi-VN"/>
        </w:rPr>
        <w:t xml:space="preserve"> nay</w:t>
      </w:r>
      <w:r w:rsidRPr="00C62BC1">
        <w:rPr>
          <w:bCs/>
          <w:snapToGrid w:val="0"/>
          <w:lang w:val="fr-FR"/>
        </w:rPr>
        <w:t>, có 15,3% hộ gia đình được phỏng vấn nhận được trợ giúp từ các nguồn hỗ trợ khác nhau. Trong đó, tỷ lệ hộ nhận được trợ giúp từ họ hàng, người thân là 9,0%; từ các chương trình, chính sách của địa phương là 4,9%; từ các chương trình, chính sách chung của quốc gia là 7,2%; từ các hoạt động từ thiện của các tổ chức và cá nhân khác là 1,7% và từ các nguồn khác là 0,1%.</w:t>
      </w:r>
    </w:p>
    <w:p w14:paraId="6414ED67" w14:textId="0B57A845" w:rsidR="003C1F72" w:rsidRPr="00C62BC1" w:rsidRDefault="00EF7A8C" w:rsidP="00AE2668">
      <w:pPr>
        <w:pStyle w:val="BodyTextIndent"/>
        <w:tabs>
          <w:tab w:val="left" w:pos="0"/>
          <w:tab w:val="left" w:pos="709"/>
        </w:tabs>
        <w:spacing w:after="120" w:line="252" w:lineRule="auto"/>
        <w:ind w:left="0" w:firstLine="720"/>
        <w:jc w:val="both"/>
        <w:rPr>
          <w:bCs/>
          <w:snapToGrid w:val="0"/>
          <w:spacing w:val="-4"/>
          <w:lang w:val="fr-FR"/>
        </w:rPr>
      </w:pPr>
      <w:r w:rsidRPr="00C62BC1">
        <w:rPr>
          <w:rFonts w:ascii="Times New Roman" w:hAnsi="Times New Roman"/>
          <w:iCs/>
          <w:snapToGrid w:val="0"/>
          <w:lang w:val="fr-FR"/>
        </w:rPr>
        <w:t>Công tác bảo đảm an sinh xã hội luôn được các cấp, các ngành thực hiện kịp thời, thiết thực</w:t>
      </w:r>
      <w:r w:rsidRPr="00C62BC1">
        <w:rPr>
          <w:rFonts w:ascii="Times New Roman" w:hAnsi="Times New Roman"/>
          <w:bCs/>
          <w:snapToGrid w:val="0"/>
          <w:lang w:val="fr-FR"/>
        </w:rPr>
        <w:t>.</w:t>
      </w:r>
      <w:r w:rsidRPr="00C62BC1">
        <w:rPr>
          <w:bCs/>
          <w:snapToGrid w:val="0"/>
          <w:lang w:val="fr-FR"/>
        </w:rPr>
        <w:t xml:space="preserve"> </w:t>
      </w:r>
      <w:r w:rsidRPr="00C62BC1">
        <w:rPr>
          <w:rFonts w:ascii="Times New Roman" w:hAnsi="Times New Roman"/>
          <w:bCs/>
          <w:snapToGrid w:val="0"/>
          <w:lang w:val="fr-FR"/>
        </w:rPr>
        <w:t xml:space="preserve">Trong tháng Mười Một, tính đến hết ngày 27/11/2025, Chính phủ đã xuất cấp </w:t>
      </w:r>
      <w:r w:rsidR="00AE743C" w:rsidRPr="00C62BC1">
        <w:rPr>
          <w:rFonts w:ascii="Times New Roman" w:hAnsi="Times New Roman"/>
          <w:bCs/>
          <w:snapToGrid w:val="0"/>
          <w:lang w:val="fr-FR"/>
        </w:rPr>
        <w:t>25</w:t>
      </w:r>
      <w:r w:rsidRPr="00C62BC1">
        <w:rPr>
          <w:rFonts w:ascii="Times New Roman" w:hAnsi="Times New Roman"/>
          <w:bCs/>
          <w:snapToGrid w:val="0"/>
          <w:lang w:val="fr-FR"/>
        </w:rPr>
        <w:t xml:space="preserve">,9 nghìn tấn gạo để hỗ trợ người dân khắc phục hậu quả thiên tai, mưa lũ. Tính từ đầu năm đến 27/11/2025, Chính phủ đã hỗ trợ cho người dân khoảng gần </w:t>
      </w:r>
      <w:r w:rsidR="00AE743C" w:rsidRPr="00C62BC1">
        <w:rPr>
          <w:rFonts w:ascii="Times New Roman" w:hAnsi="Times New Roman"/>
          <w:bCs/>
          <w:snapToGrid w:val="0"/>
          <w:lang w:val="fr-FR"/>
        </w:rPr>
        <w:t>38</w:t>
      </w:r>
      <w:r w:rsidRPr="00C62BC1">
        <w:rPr>
          <w:rFonts w:ascii="Times New Roman" w:hAnsi="Times New Roman"/>
          <w:bCs/>
          <w:snapToGrid w:val="0"/>
          <w:lang w:val="fr-FR"/>
        </w:rPr>
        <w:t xml:space="preserve">,2 nghìn tấn gạo, trong đó: </w:t>
      </w:r>
      <w:r w:rsidRPr="00C62BC1">
        <w:rPr>
          <w:rFonts w:ascii="Times New Roman" w:hAnsi="Times New Roman"/>
          <w:bCs/>
          <w:snapToGrid w:val="0"/>
          <w:spacing w:val="-10"/>
          <w:lang w:val="fr-FR"/>
        </w:rPr>
        <w:t>Hỗ trợ 6,0</w:t>
      </w:r>
      <w:r w:rsidRPr="00C62BC1">
        <w:rPr>
          <w:rFonts w:ascii="Times New Roman" w:hAnsi="Times New Roman"/>
          <w:bCs/>
          <w:snapToGrid w:val="0"/>
          <w:spacing w:val="-10"/>
          <w:lang w:val="vi-VN"/>
        </w:rPr>
        <w:t xml:space="preserve"> </w:t>
      </w:r>
      <w:r w:rsidRPr="00C62BC1">
        <w:rPr>
          <w:rFonts w:ascii="Times New Roman" w:hAnsi="Times New Roman"/>
          <w:bCs/>
          <w:snapToGrid w:val="0"/>
          <w:spacing w:val="-10"/>
          <w:lang w:val="fr-FR"/>
        </w:rPr>
        <w:t xml:space="preserve">nghìn tấn gạo cứu đói nhân dịp Tết Nguyên đán cho </w:t>
      </w:r>
      <w:r w:rsidRPr="00C62BC1">
        <w:rPr>
          <w:rFonts w:ascii="Times New Roman" w:hAnsi="Times New Roman"/>
          <w:bCs/>
          <w:snapToGrid w:val="0"/>
          <w:spacing w:val="-10"/>
          <w:lang w:val="vi-VN"/>
        </w:rPr>
        <w:t>402,6 nghìn</w:t>
      </w:r>
      <w:r w:rsidRPr="00C62BC1">
        <w:rPr>
          <w:rFonts w:ascii="Times New Roman" w:hAnsi="Times New Roman"/>
          <w:bCs/>
          <w:snapToGrid w:val="0"/>
          <w:spacing w:val="-10"/>
          <w:lang w:val="fr-FR"/>
        </w:rPr>
        <w:t xml:space="preserve"> nhân </w:t>
      </w:r>
      <w:r w:rsidRPr="00C62BC1">
        <w:rPr>
          <w:rFonts w:ascii="Times New Roman" w:hAnsi="Times New Roman"/>
          <w:bCs/>
          <w:snapToGrid w:val="0"/>
          <w:spacing w:val="-10"/>
          <w:lang w:val="vi-VN"/>
        </w:rPr>
        <w:t>khẩu; h</w:t>
      </w:r>
      <w:r w:rsidRPr="00C62BC1">
        <w:rPr>
          <w:rFonts w:ascii="Times New Roman" w:hAnsi="Times New Roman"/>
          <w:bCs/>
          <w:snapToGrid w:val="0"/>
          <w:spacing w:val="-4"/>
          <w:lang w:val="fr-FR"/>
        </w:rPr>
        <w:t>ỗ trợ</w:t>
      </w:r>
      <w:r w:rsidR="00AE743C" w:rsidRPr="00C62BC1">
        <w:rPr>
          <w:rFonts w:ascii="Times New Roman" w:hAnsi="Times New Roman"/>
          <w:bCs/>
          <w:snapToGrid w:val="0"/>
          <w:spacing w:val="-4"/>
          <w:lang w:val="fr-FR"/>
        </w:rPr>
        <w:t xml:space="preserve"> gần</w:t>
      </w:r>
      <w:r w:rsidRPr="00C62BC1">
        <w:rPr>
          <w:rFonts w:ascii="Times New Roman" w:hAnsi="Times New Roman"/>
          <w:bCs/>
          <w:snapToGrid w:val="0"/>
          <w:spacing w:val="-4"/>
          <w:lang w:val="fr-FR"/>
        </w:rPr>
        <w:t xml:space="preserve"> 4,</w:t>
      </w:r>
      <w:r w:rsidRPr="00C62BC1">
        <w:rPr>
          <w:rFonts w:ascii="Times New Roman" w:hAnsi="Times New Roman"/>
          <w:bCs/>
          <w:snapToGrid w:val="0"/>
          <w:spacing w:val="-4"/>
          <w:lang w:val="vi-VN"/>
        </w:rPr>
        <w:t>3</w:t>
      </w:r>
      <w:r w:rsidRPr="00C62BC1">
        <w:rPr>
          <w:rFonts w:ascii="Times New Roman" w:hAnsi="Times New Roman"/>
          <w:bCs/>
          <w:snapToGrid w:val="0"/>
          <w:spacing w:val="-4"/>
          <w:lang w:val="fr-FR"/>
        </w:rPr>
        <w:t xml:space="preserve"> nghìn tấn gạo cứu đói giáp hạt năm 2025 cho </w:t>
      </w:r>
      <w:r w:rsidRPr="00C62BC1">
        <w:rPr>
          <w:rFonts w:ascii="Times New Roman" w:hAnsi="Times New Roman"/>
          <w:bCs/>
          <w:snapToGrid w:val="0"/>
          <w:spacing w:val="-4"/>
          <w:lang w:val="vi-VN"/>
        </w:rPr>
        <w:t>284,5 nghìn</w:t>
      </w:r>
      <w:r w:rsidRPr="00C62BC1">
        <w:rPr>
          <w:rFonts w:ascii="Times New Roman" w:hAnsi="Times New Roman"/>
          <w:bCs/>
          <w:snapToGrid w:val="0"/>
          <w:spacing w:val="-4"/>
          <w:lang w:val="fr-FR"/>
        </w:rPr>
        <w:t xml:space="preserve"> nhân </w:t>
      </w:r>
      <w:r w:rsidRPr="00C62BC1">
        <w:rPr>
          <w:rFonts w:ascii="Times New Roman" w:hAnsi="Times New Roman"/>
          <w:bCs/>
          <w:snapToGrid w:val="0"/>
          <w:spacing w:val="-4"/>
          <w:lang w:val="vi-VN"/>
        </w:rPr>
        <w:t>khẩu; h</w:t>
      </w:r>
      <w:r w:rsidRPr="00C62BC1">
        <w:rPr>
          <w:rFonts w:ascii="Times New Roman" w:hAnsi="Times New Roman"/>
          <w:bCs/>
          <w:snapToGrid w:val="0"/>
          <w:spacing w:val="-10"/>
          <w:lang w:val="fr-FR"/>
        </w:rPr>
        <w:t xml:space="preserve">ỗ trợ </w:t>
      </w:r>
      <w:r w:rsidR="00AE743C" w:rsidRPr="00C62BC1">
        <w:rPr>
          <w:rFonts w:ascii="Times New Roman" w:hAnsi="Times New Roman"/>
          <w:bCs/>
          <w:snapToGrid w:val="0"/>
          <w:spacing w:val="-10"/>
          <w:lang w:val="fr-FR"/>
        </w:rPr>
        <w:t>hơn 27</w:t>
      </w:r>
      <w:r w:rsidRPr="00C62BC1">
        <w:rPr>
          <w:rFonts w:ascii="Times New Roman" w:hAnsi="Times New Roman"/>
          <w:bCs/>
          <w:snapToGrid w:val="0"/>
          <w:spacing w:val="-10"/>
          <w:lang w:val="fr-FR"/>
        </w:rPr>
        <w:t xml:space="preserve">,9 nghìn tấn gạo khắc phục hậu quả thiên tai, mưa lũ cho khoảng </w:t>
      </w:r>
      <w:r w:rsidR="00AE743C" w:rsidRPr="00C62BC1">
        <w:rPr>
          <w:rFonts w:ascii="Times New Roman" w:hAnsi="Times New Roman"/>
          <w:bCs/>
          <w:snapToGrid w:val="0"/>
          <w:spacing w:val="-10"/>
          <w:lang w:val="fr-FR"/>
        </w:rPr>
        <w:t xml:space="preserve">hơn </w:t>
      </w:r>
      <w:r w:rsidRPr="00C62BC1">
        <w:rPr>
          <w:rFonts w:ascii="Times New Roman" w:hAnsi="Times New Roman"/>
          <w:bCs/>
          <w:snapToGrid w:val="0"/>
          <w:spacing w:val="-10"/>
          <w:lang w:val="fr-FR"/>
        </w:rPr>
        <w:t>1,8</w:t>
      </w:r>
      <w:r w:rsidR="00AE743C" w:rsidRPr="00C62BC1">
        <w:rPr>
          <w:rFonts w:ascii="Times New Roman" w:hAnsi="Times New Roman"/>
          <w:bCs/>
          <w:snapToGrid w:val="0"/>
          <w:spacing w:val="-10"/>
          <w:lang w:val="fr-FR"/>
        </w:rPr>
        <w:t>6</w:t>
      </w:r>
      <w:r w:rsidRPr="00C62BC1">
        <w:rPr>
          <w:rFonts w:ascii="Times New Roman" w:hAnsi="Times New Roman"/>
          <w:bCs/>
          <w:snapToGrid w:val="0"/>
          <w:spacing w:val="-10"/>
          <w:lang w:val="fr-FR"/>
        </w:rPr>
        <w:t xml:space="preserve"> triệu nhân khẩu.</w:t>
      </w:r>
      <w:r w:rsidR="003C1F72" w:rsidRPr="00C62BC1">
        <w:rPr>
          <w:rFonts w:ascii="Times New Roman" w:hAnsi="Times New Roman"/>
          <w:bCs/>
          <w:snapToGrid w:val="0"/>
          <w:spacing w:val="-10"/>
          <w:lang w:val="fr-FR"/>
        </w:rPr>
        <w:t xml:space="preserve"> </w:t>
      </w:r>
      <w:r w:rsidR="003C1F72" w:rsidRPr="00C62BC1">
        <w:rPr>
          <w:rFonts w:ascii="Times New Roman" w:hAnsi="Times New Roman"/>
          <w:bCs/>
          <w:snapToGrid w:val="0"/>
          <w:spacing w:val="-4"/>
          <w:lang w:val="fr-FR"/>
        </w:rPr>
        <w:t>Tính đầu năm đến ngày 23/11/2025, ngân sách Trung ương đã hỗ trợ các địa phương khắc phục thiệt hại do thiên tai với tổng số tiền là 6.794,0 tỷ đồng; trong đó hỗ trợ các địa phương bị ảnh hưởng do cơn bão số 13 và mưa lũ vùng duyên hải Nam Trung Bộ và Tây Nguyên là 2.630,0 tỷ đồng.</w:t>
      </w:r>
    </w:p>
    <w:p w14:paraId="4A3EAAE0" w14:textId="77777777" w:rsidR="00EF7A8C" w:rsidRPr="00C62BC1" w:rsidRDefault="00EF7A8C" w:rsidP="00AE2668">
      <w:pPr>
        <w:spacing w:after="120" w:line="252" w:lineRule="auto"/>
        <w:ind w:firstLine="720"/>
        <w:jc w:val="both"/>
        <w:rPr>
          <w:lang w:val="vi-VN"/>
        </w:rPr>
      </w:pPr>
      <w:r w:rsidRPr="00C62BC1">
        <w:rPr>
          <w:b/>
          <w:bCs/>
          <w:i/>
          <w:iCs/>
          <w:lang w:val="vi-VN"/>
        </w:rPr>
        <w:t>b) Tình hình dịch bệnh, ngộ độc thực phẩm</w:t>
      </w:r>
    </w:p>
    <w:p w14:paraId="612E37C7" w14:textId="77777777" w:rsidR="00EF7A8C" w:rsidRPr="00C62BC1" w:rsidRDefault="00EF7A8C" w:rsidP="00AE2668">
      <w:pPr>
        <w:spacing w:after="120" w:line="252" w:lineRule="auto"/>
        <w:ind w:firstLine="720"/>
        <w:jc w:val="both"/>
        <w:rPr>
          <w:lang w:val="de-DE"/>
        </w:rPr>
      </w:pPr>
      <w:r w:rsidRPr="00C62BC1">
        <w:rPr>
          <w:lang w:val="de-DE"/>
        </w:rPr>
        <w:t xml:space="preserve">Theo báo cáo của Bộ Y tế, trong tháng (từ ngày 18/10-17/11/2025), cả nước có </w:t>
      </w:r>
      <w:r w:rsidRPr="00C62BC1">
        <w:rPr>
          <w:spacing w:val="-2"/>
          <w:lang w:val="de-DE"/>
        </w:rPr>
        <w:t xml:space="preserve">46,1 </w:t>
      </w:r>
      <w:r w:rsidRPr="00C62BC1">
        <w:rPr>
          <w:lang w:val="de-DE"/>
        </w:rPr>
        <w:t>nghìn trường hợp sốt xuất huyết</w:t>
      </w:r>
      <w:r w:rsidRPr="00C62BC1">
        <w:rPr>
          <w:lang w:val="vi-VN"/>
        </w:rPr>
        <w:t xml:space="preserve"> </w:t>
      </w:r>
      <w:r w:rsidRPr="00C62BC1">
        <w:rPr>
          <w:spacing w:val="-2"/>
          <w:lang w:val="de-DE"/>
        </w:rPr>
        <w:t xml:space="preserve">(08 </w:t>
      </w:r>
      <w:r w:rsidRPr="00C62BC1">
        <w:rPr>
          <w:spacing w:val="-2"/>
          <w:lang w:val="vi-VN"/>
        </w:rPr>
        <w:t>trường hợp</w:t>
      </w:r>
      <w:r w:rsidRPr="00C62BC1">
        <w:rPr>
          <w:spacing w:val="-2"/>
          <w:lang w:val="de-DE"/>
        </w:rPr>
        <w:t xml:space="preserve"> tử vong)</w:t>
      </w:r>
      <w:r w:rsidRPr="00C62BC1">
        <w:rPr>
          <w:lang w:val="de-DE"/>
        </w:rPr>
        <w:t xml:space="preserve">; </w:t>
      </w:r>
      <w:r w:rsidRPr="00C62BC1">
        <w:rPr>
          <w:spacing w:val="-2"/>
          <w:lang w:val="de-DE"/>
        </w:rPr>
        <w:t xml:space="preserve">19,9 </w:t>
      </w:r>
      <w:r w:rsidRPr="00C62BC1">
        <w:rPr>
          <w:lang w:val="de-DE"/>
        </w:rPr>
        <w:t xml:space="preserve">nghìn trường hợp mắc bệnh tay chân miệng </w:t>
      </w:r>
      <w:r w:rsidRPr="00C62BC1">
        <w:rPr>
          <w:spacing w:val="-2"/>
          <w:lang w:val="de-DE"/>
        </w:rPr>
        <w:t>(01 trường hợp tử vong)</w:t>
      </w:r>
      <w:r w:rsidRPr="00C62BC1">
        <w:rPr>
          <w:lang w:val="de-DE"/>
        </w:rPr>
        <w:t xml:space="preserve">; </w:t>
      </w:r>
      <w:r w:rsidRPr="00C62BC1">
        <w:rPr>
          <w:spacing w:val="-2"/>
          <w:lang w:val="de-DE"/>
        </w:rPr>
        <w:t xml:space="preserve">1.393 </w:t>
      </w:r>
      <w:r w:rsidRPr="00C62BC1">
        <w:rPr>
          <w:lang w:val="de-DE"/>
        </w:rPr>
        <w:t xml:space="preserve">trường hợp sốt phát ban nghi sởi; </w:t>
      </w:r>
      <w:r w:rsidRPr="00C62BC1">
        <w:rPr>
          <w:spacing w:val="-2"/>
          <w:lang w:val="de-DE"/>
        </w:rPr>
        <w:t>34</w:t>
      </w:r>
      <w:r w:rsidRPr="00C62BC1">
        <w:rPr>
          <w:lang w:val="de-DE"/>
        </w:rPr>
        <w:t xml:space="preserve"> trường hợp viêm não vi rút; </w:t>
      </w:r>
      <w:r w:rsidRPr="00C62BC1">
        <w:rPr>
          <w:spacing w:val="-2"/>
          <w:lang w:val="de-DE"/>
        </w:rPr>
        <w:t>11</w:t>
      </w:r>
      <w:r w:rsidRPr="00C62BC1">
        <w:rPr>
          <w:lang w:val="de-DE"/>
        </w:rPr>
        <w:t xml:space="preserve"> trường hợp viêm màng não do não mô </w:t>
      </w:r>
      <w:r w:rsidRPr="00C62BC1">
        <w:rPr>
          <w:lang w:val="vi-VN"/>
        </w:rPr>
        <w:t xml:space="preserve">cầu; </w:t>
      </w:r>
      <w:r w:rsidRPr="00C62BC1">
        <w:rPr>
          <w:spacing w:val="-2"/>
          <w:lang w:val="de-DE"/>
        </w:rPr>
        <w:t>06</w:t>
      </w:r>
      <w:r w:rsidRPr="00C62BC1">
        <w:rPr>
          <w:lang w:val="de-DE"/>
        </w:rPr>
        <w:t xml:space="preserve"> trường hợp tử vong do bệnh dại. Tính chung mười một tháng năm 2025, cả nước có </w:t>
      </w:r>
      <w:r w:rsidRPr="00C62BC1">
        <w:rPr>
          <w:spacing w:val="-2"/>
          <w:lang w:val="de-DE"/>
        </w:rPr>
        <w:t xml:space="preserve">156,6 </w:t>
      </w:r>
      <w:r w:rsidRPr="00C62BC1">
        <w:rPr>
          <w:lang w:val="de-DE"/>
        </w:rPr>
        <w:t xml:space="preserve">nghìn trường hợp mắc bệnh sốt xuất huyết (31 người tử vong); </w:t>
      </w:r>
      <w:r w:rsidRPr="00C62BC1">
        <w:rPr>
          <w:spacing w:val="-2"/>
          <w:lang w:val="de-DE"/>
        </w:rPr>
        <w:t xml:space="preserve">116,0 </w:t>
      </w:r>
      <w:r w:rsidRPr="00C62BC1">
        <w:rPr>
          <w:lang w:val="de-DE"/>
        </w:rPr>
        <w:t>nghìn trường hợp sốt phát ban nghi sởi (11</w:t>
      </w:r>
      <w:r w:rsidRPr="00C62BC1">
        <w:rPr>
          <w:lang w:val="vi-VN"/>
        </w:rPr>
        <w:t xml:space="preserve"> trường hợp </w:t>
      </w:r>
      <w:r w:rsidRPr="00C62BC1">
        <w:rPr>
          <w:lang w:val="de-DE"/>
        </w:rPr>
        <w:t xml:space="preserve">tử vong); </w:t>
      </w:r>
      <w:r w:rsidRPr="00C62BC1">
        <w:rPr>
          <w:spacing w:val="-2"/>
          <w:lang w:val="de-DE"/>
        </w:rPr>
        <w:t>78,5</w:t>
      </w:r>
      <w:r w:rsidRPr="00C62BC1">
        <w:rPr>
          <w:lang w:val="de-DE"/>
        </w:rPr>
        <w:t xml:space="preserve"> nghìn trường hợp mắc bệnh tay chân miệng </w:t>
      </w:r>
      <w:r w:rsidRPr="00C62BC1">
        <w:rPr>
          <w:spacing w:val="-2"/>
          <w:lang w:val="de-DE"/>
        </w:rPr>
        <w:t>(01 trường hợp tử vong)</w:t>
      </w:r>
      <w:r w:rsidRPr="00C62BC1">
        <w:rPr>
          <w:lang w:val="de-DE"/>
        </w:rPr>
        <w:t xml:space="preserve">; </w:t>
      </w:r>
      <w:r w:rsidRPr="00C62BC1">
        <w:rPr>
          <w:spacing w:val="-2"/>
          <w:lang w:val="de-DE"/>
        </w:rPr>
        <w:t>340</w:t>
      </w:r>
      <w:r w:rsidRPr="00C62BC1">
        <w:rPr>
          <w:lang w:val="de-DE"/>
        </w:rPr>
        <w:t xml:space="preserve"> trường hợp viêm não vi rút (01 người tử vong); </w:t>
      </w:r>
      <w:r w:rsidRPr="00C62BC1">
        <w:rPr>
          <w:spacing w:val="-2"/>
          <w:lang w:val="de-DE"/>
        </w:rPr>
        <w:t>95</w:t>
      </w:r>
      <w:r w:rsidRPr="00C62BC1">
        <w:rPr>
          <w:lang w:val="de-DE"/>
        </w:rPr>
        <w:t xml:space="preserve"> trường hợp viêm màng não do não mô </w:t>
      </w:r>
      <w:r w:rsidRPr="00C62BC1">
        <w:rPr>
          <w:lang w:val="vi-VN"/>
        </w:rPr>
        <w:t>cầu</w:t>
      </w:r>
      <w:r w:rsidRPr="00C62BC1">
        <w:rPr>
          <w:lang w:val="de-DE"/>
        </w:rPr>
        <w:t xml:space="preserve"> (01</w:t>
      </w:r>
      <w:r w:rsidRPr="00C62BC1">
        <w:rPr>
          <w:lang w:val="vi-VN"/>
        </w:rPr>
        <w:t xml:space="preserve"> trường hợp </w:t>
      </w:r>
      <w:r w:rsidRPr="00C62BC1">
        <w:rPr>
          <w:lang w:val="de-DE"/>
        </w:rPr>
        <w:t>tử vong)</w:t>
      </w:r>
      <w:r w:rsidRPr="00C62BC1">
        <w:rPr>
          <w:lang w:val="vi-VN"/>
        </w:rPr>
        <w:t xml:space="preserve">; </w:t>
      </w:r>
      <w:r w:rsidRPr="00C62BC1">
        <w:rPr>
          <w:lang w:val="de-DE"/>
        </w:rPr>
        <w:t>68 trường hợp tử vong do bệnh dại.</w:t>
      </w:r>
    </w:p>
    <w:p w14:paraId="451EB66B" w14:textId="77777777" w:rsidR="00EF7A8C" w:rsidRPr="00C62BC1" w:rsidRDefault="00EF7A8C" w:rsidP="00AE2668">
      <w:pPr>
        <w:spacing w:after="120" w:line="252" w:lineRule="auto"/>
        <w:ind w:firstLine="720"/>
        <w:jc w:val="both"/>
        <w:rPr>
          <w:spacing w:val="4"/>
          <w:lang w:val="de-DE"/>
        </w:rPr>
      </w:pPr>
      <w:r w:rsidRPr="00C62BC1">
        <w:rPr>
          <w:spacing w:val="4"/>
          <w:lang w:val="de-DE"/>
        </w:rPr>
        <w:t>Tổng số người nhiễm HIV của cả nước hiện còn sống tính đến ngày 17/11/2025 là 253,1</w:t>
      </w:r>
      <w:r w:rsidRPr="00C62BC1">
        <w:rPr>
          <w:spacing w:val="4"/>
          <w:lang w:val="vi-VN"/>
        </w:rPr>
        <w:t xml:space="preserve"> </w:t>
      </w:r>
      <w:r w:rsidRPr="00C62BC1">
        <w:rPr>
          <w:spacing w:val="4"/>
          <w:lang w:val="de-DE"/>
        </w:rPr>
        <w:t xml:space="preserve">nghìn người; số người tử vong do HIV/AIDS là </w:t>
      </w:r>
      <w:r w:rsidRPr="00C62BC1">
        <w:rPr>
          <w:bCs/>
          <w:spacing w:val="4"/>
          <w:lang w:val="pl-PL"/>
        </w:rPr>
        <w:t>117,3</w:t>
      </w:r>
      <w:r w:rsidRPr="00C62BC1">
        <w:rPr>
          <w:spacing w:val="4"/>
          <w:lang w:val="de-DE"/>
        </w:rPr>
        <w:t xml:space="preserve"> nghìn người.</w:t>
      </w:r>
    </w:p>
    <w:p w14:paraId="4648FAA4" w14:textId="77777777" w:rsidR="00EF7A8C" w:rsidRPr="00C62BC1" w:rsidRDefault="00EF7A8C" w:rsidP="00AE2668">
      <w:pPr>
        <w:spacing w:after="120" w:line="252" w:lineRule="auto"/>
        <w:ind w:firstLine="720"/>
        <w:jc w:val="both"/>
        <w:rPr>
          <w:lang w:val="de-DE"/>
        </w:rPr>
      </w:pPr>
      <w:r w:rsidRPr="00C62BC1">
        <w:rPr>
          <w:lang w:val="de-DE"/>
        </w:rPr>
        <w:t xml:space="preserve">Về ngộ độc thực phẩm, trong tháng Mười Một xảy ra 07 vụ ngộ độc thực phẩm làm 301 người bị ngộ độc. Tính chung mười một tháng năm 2025 (từ 18/12/2024-17/11/2025), cả nước xảy ra 64 vụ với </w:t>
      </w:r>
      <w:r w:rsidRPr="00C62BC1">
        <w:rPr>
          <w:spacing w:val="-2"/>
          <w:lang w:val="de-DE"/>
        </w:rPr>
        <w:t>1.255</w:t>
      </w:r>
      <w:r w:rsidRPr="00C62BC1">
        <w:rPr>
          <w:lang w:val="de-DE"/>
        </w:rPr>
        <w:t xml:space="preserve"> người bị ngộ độc (</w:t>
      </w:r>
      <w:r w:rsidRPr="00C62BC1">
        <w:rPr>
          <w:lang w:val="vi-VN"/>
        </w:rPr>
        <w:t>1</w:t>
      </w:r>
      <w:r w:rsidRPr="00C62BC1">
        <w:rPr>
          <w:lang w:val="de-DE"/>
        </w:rPr>
        <w:t>6 người tử vong).</w:t>
      </w:r>
    </w:p>
    <w:p w14:paraId="78C44243" w14:textId="77777777" w:rsidR="00EF7A8C" w:rsidRPr="00C62BC1" w:rsidRDefault="00EF7A8C" w:rsidP="00AE2668">
      <w:pPr>
        <w:spacing w:after="120" w:line="252" w:lineRule="auto"/>
        <w:ind w:firstLine="720"/>
        <w:jc w:val="both"/>
        <w:outlineLvl w:val="0"/>
        <w:rPr>
          <w:b/>
          <w:i/>
          <w:iCs/>
          <w:lang w:val="de-DE"/>
        </w:rPr>
      </w:pPr>
      <w:r w:rsidRPr="00C62BC1">
        <w:rPr>
          <w:b/>
          <w:bCs/>
          <w:i/>
          <w:iCs/>
          <w:lang w:val="pl-PL"/>
        </w:rPr>
        <w:t xml:space="preserve">c) </w:t>
      </w:r>
      <w:r w:rsidRPr="00C62BC1">
        <w:rPr>
          <w:b/>
          <w:i/>
          <w:iCs/>
          <w:lang w:val="de-DE"/>
        </w:rPr>
        <w:t>Hoạt động văn hóa, thể thao</w:t>
      </w:r>
    </w:p>
    <w:p w14:paraId="1C2EF8A2" w14:textId="77777777" w:rsidR="00EF7A8C" w:rsidRPr="00C62BC1" w:rsidRDefault="00EF7A8C" w:rsidP="00AE2668">
      <w:pPr>
        <w:pStyle w:val="BodyTextIndent"/>
        <w:tabs>
          <w:tab w:val="left" w:pos="0"/>
          <w:tab w:val="left" w:pos="709"/>
        </w:tabs>
        <w:spacing w:after="120" w:line="252" w:lineRule="auto"/>
        <w:ind w:left="0" w:firstLine="720"/>
        <w:jc w:val="both"/>
        <w:rPr>
          <w:rFonts w:ascii="Times New Roman" w:hAnsi="Times New Roman"/>
          <w:iCs/>
          <w:snapToGrid w:val="0"/>
          <w:lang w:val="de-DE"/>
        </w:rPr>
      </w:pPr>
      <w:r w:rsidRPr="00C62BC1">
        <w:rPr>
          <w:rFonts w:ascii="Times New Roman" w:hAnsi="Times New Roman"/>
          <w:i/>
          <w:iCs/>
          <w:snapToGrid w:val="0"/>
          <w:lang w:val="de-DE"/>
        </w:rPr>
        <w:t>Về văn hóa,</w:t>
      </w:r>
      <w:r w:rsidRPr="00C62BC1">
        <w:rPr>
          <w:rFonts w:ascii="Times New Roman" w:hAnsi="Times New Roman"/>
          <w:iCs/>
          <w:snapToGrid w:val="0"/>
          <w:lang w:val="de-DE"/>
        </w:rPr>
        <w:t xml:space="preserve"> trong tháng Mười Một diễn ra một số hoạt động văn hóa nổi bật như: Tuần Đại đoàn kết các dân tộc - Di sản văn hóa Việt Nam năm 2025 diễn ra từ ngày 18-24/11 tại Hà Nội; Thành phố Hồ Chí Minh khai mạc Liên </w:t>
      </w:r>
      <w:r w:rsidRPr="00C62BC1">
        <w:rPr>
          <w:rFonts w:ascii="Times New Roman" w:hAnsi="Times New Roman"/>
          <w:iCs/>
          <w:snapToGrid w:val="0"/>
          <w:lang w:val="de-DE"/>
        </w:rPr>
        <w:lastRenderedPageBreak/>
        <w:t xml:space="preserve">hoan Phim Việt Nam lần thứ XXIV từ ngày 21-25/11 và được UNESCO công nhận là “Thành phố sáng tạo toàn cầu về điện ảnh”; Festival quốc tế Âm nhạc mới Á - Âu lần thứ IV diễn ra từ ngày 27/11-01/12 tại Hà Nội và Phú Thọ; Festival Thăng Long - Hà Nội 2025 với chủ đề “Di sản - Kết nối - Thời đại” diễn ra từ ngày 01/11-16/11 tại Hà Nội; Lễ hội Áo dài Du lịch Hà Nội năm 2025 với chủ đề “Áo dài Hà Nội - Tỏa sáng tinh hoa di sản” từ ngày 06-09/11 tại Hà Nội; Concert “Quảng Ninh - Đất Mỏ Anh hùng” diễn ra ngày 12/11 tại Quảng Ninh… </w:t>
      </w:r>
    </w:p>
    <w:p w14:paraId="51050EBB" w14:textId="3CDF2008" w:rsidR="00EF7A8C" w:rsidRPr="00C62BC1" w:rsidRDefault="00EF7A8C" w:rsidP="00AE2668">
      <w:pPr>
        <w:pStyle w:val="BodyTextIndent"/>
        <w:tabs>
          <w:tab w:val="left" w:pos="0"/>
          <w:tab w:val="left" w:pos="709"/>
        </w:tabs>
        <w:spacing w:after="120" w:line="252" w:lineRule="auto"/>
        <w:ind w:left="0" w:firstLine="720"/>
        <w:jc w:val="both"/>
        <w:rPr>
          <w:rFonts w:ascii="Times New Roman" w:hAnsi="Times New Roman"/>
          <w:iCs/>
          <w:snapToGrid w:val="0"/>
          <w:lang w:val="de-DE"/>
        </w:rPr>
      </w:pPr>
      <w:r w:rsidRPr="00C62BC1">
        <w:rPr>
          <w:rFonts w:ascii="Times New Roman" w:hAnsi="Times New Roman"/>
          <w:i/>
          <w:iCs/>
          <w:snapToGrid w:val="0"/>
          <w:lang w:val="de-DE"/>
        </w:rPr>
        <w:t>Về thể thao,</w:t>
      </w:r>
      <w:r w:rsidRPr="00C62BC1">
        <w:rPr>
          <w:rFonts w:ascii="Times New Roman" w:hAnsi="Times New Roman"/>
          <w:iCs/>
          <w:snapToGrid w:val="0"/>
          <w:lang w:val="de-DE"/>
        </w:rPr>
        <w:t xml:space="preserve"> trong tháng Mười Một diễn ra một số sự kiện thể thao</w:t>
      </w:r>
      <w:r w:rsidR="00A9012A" w:rsidRPr="00C62BC1">
        <w:rPr>
          <w:rFonts w:ascii="Times New Roman" w:hAnsi="Times New Roman"/>
          <w:iCs/>
          <w:snapToGrid w:val="0"/>
          <w:lang w:val="de-DE"/>
        </w:rPr>
        <w:t xml:space="preserve"> lớn</w:t>
      </w:r>
      <w:r w:rsidRPr="00C62BC1">
        <w:rPr>
          <w:rFonts w:ascii="Times New Roman" w:hAnsi="Times New Roman"/>
          <w:iCs/>
          <w:snapToGrid w:val="0"/>
          <w:lang w:val="de-DE"/>
        </w:rPr>
        <w:t xml:space="preserve"> như: Việt Nam giành 10 huy chương vàng, 05 huy chương bạc và 03 huy chương đồng tại Giải thể hình và fitness vô địch thế giới tại In-đô-nê-xi-a từ ngày 14-17/11; đội tuyển lặn Việt Nam</w:t>
      </w:r>
      <w:r w:rsidR="00A9012A" w:rsidRPr="00C62BC1">
        <w:rPr>
          <w:rFonts w:ascii="Times New Roman" w:hAnsi="Times New Roman"/>
          <w:iCs/>
          <w:snapToGrid w:val="0"/>
          <w:lang w:val="de-DE"/>
        </w:rPr>
        <w:t xml:space="preserve"> với</w:t>
      </w:r>
      <w:r w:rsidRPr="00C62BC1">
        <w:rPr>
          <w:rFonts w:ascii="Times New Roman" w:hAnsi="Times New Roman"/>
          <w:iCs/>
          <w:snapToGrid w:val="0"/>
          <w:lang w:val="de-DE"/>
        </w:rPr>
        <w:t xml:space="preserve"> 31 huy chương vàng, 22 huy chương bạc và 04 huy chương đồng, giành vị trí số 1 tại Giải vô địch Đông Nam Á 2025 tại In-đô-nê-xi-a từ ngày 16-19/11; đội tuyển điền kinh trẻ Việt Nam xếp ở vị trí thứ 2 với 13 huy chương vàng tại Giải Vô địch Điền kinh Trẻ Đông Nam Á năm 2025 lứa tuổi U18 và U20 diễn ra tại In-đô-nê-xi-a từ ngày 15-18/11; giải vô địch Thể thao điện tử châu Á 2025 diễn ra tại Cần Thơ từ ngày 19-22/11; giải Vô địch các Hội Golf toàn quốc năm 2025 diễn ra tại Đà Nẵng từ ngày 28-30/11; hội thi thể thao các dân tộc thiểu số toàn quốc lần thứ XIV, khu vực II năm 2025 diễn ra tại Đồng Nai từ 17-24/11; đội tuyển bóng đá U17 Việt Nam giành vé dự vòng chung kết U17 châu Á 2026.</w:t>
      </w:r>
    </w:p>
    <w:p w14:paraId="4A12F865" w14:textId="77777777" w:rsidR="00EF7A8C" w:rsidRPr="00C62BC1" w:rsidRDefault="00EF7A8C" w:rsidP="00AE2668">
      <w:pPr>
        <w:spacing w:after="120" w:line="252" w:lineRule="auto"/>
        <w:ind w:firstLine="720"/>
        <w:jc w:val="both"/>
        <w:rPr>
          <w:b/>
          <w:i/>
          <w:lang w:val="de-DE"/>
        </w:rPr>
      </w:pPr>
      <w:r w:rsidRPr="00C62BC1">
        <w:rPr>
          <w:b/>
          <w:i/>
          <w:lang w:val="de-DE"/>
        </w:rPr>
        <w:t>d) Tai nạn giao thông</w:t>
      </w:r>
      <w:r w:rsidRPr="00C62BC1">
        <w:rPr>
          <w:b/>
          <w:bCs/>
          <w:iCs/>
          <w:vertAlign w:val="superscript"/>
        </w:rPr>
        <w:footnoteReference w:id="36"/>
      </w:r>
    </w:p>
    <w:p w14:paraId="54D01A13" w14:textId="77777777" w:rsidR="00EF7A8C" w:rsidRPr="00C62BC1" w:rsidRDefault="00EF7A8C" w:rsidP="00AE2668">
      <w:pPr>
        <w:tabs>
          <w:tab w:val="left" w:pos="567"/>
        </w:tabs>
        <w:spacing w:after="120" w:line="252" w:lineRule="auto"/>
        <w:ind w:firstLine="720"/>
        <w:jc w:val="both"/>
        <w:rPr>
          <w:lang w:val="de-DE"/>
        </w:rPr>
      </w:pPr>
      <w:r w:rsidRPr="00C62BC1">
        <w:rPr>
          <w:rFonts w:eastAsia="Calibri"/>
          <w:lang w:val="de-DE"/>
        </w:rPr>
        <w:t>Trong tháng Mười Một</w:t>
      </w:r>
      <w:r w:rsidRPr="00C62BC1">
        <w:rPr>
          <w:rFonts w:eastAsia="Calibri"/>
          <w:lang w:val="vi-VN"/>
        </w:rPr>
        <w:t xml:space="preserve"> </w:t>
      </w:r>
      <w:r w:rsidRPr="00C62BC1">
        <w:rPr>
          <w:rFonts w:eastAsia="Calibri"/>
          <w:lang w:val="de-DE"/>
        </w:rPr>
        <w:t xml:space="preserve">(từ </w:t>
      </w:r>
      <w:r w:rsidRPr="00C62BC1">
        <w:rPr>
          <w:lang w:val="de-DE"/>
        </w:rPr>
        <w:t>26/10-25/11/2025</w:t>
      </w:r>
      <w:r w:rsidRPr="00C62BC1">
        <w:rPr>
          <w:rFonts w:eastAsia="Calibri"/>
          <w:lang w:val="de-DE"/>
        </w:rPr>
        <w:t xml:space="preserve">), </w:t>
      </w:r>
      <w:r w:rsidRPr="00C62BC1">
        <w:rPr>
          <w:lang w:val="de-DE"/>
        </w:rPr>
        <w:t xml:space="preserve">cả nước xảy ra </w:t>
      </w:r>
      <w:r w:rsidRPr="00C62BC1">
        <w:rPr>
          <w:lang w:val="vi-VN"/>
        </w:rPr>
        <w:t>1</w:t>
      </w:r>
      <w:r w:rsidRPr="00C62BC1">
        <w:rPr>
          <w:lang w:val="de-DE"/>
        </w:rPr>
        <w:t>.</w:t>
      </w:r>
      <w:r w:rsidRPr="00C62BC1">
        <w:rPr>
          <w:lang w:val="vi-VN"/>
        </w:rPr>
        <w:t>523</w:t>
      </w:r>
      <w:r w:rsidRPr="00C62BC1">
        <w:rPr>
          <w:lang w:val="de-DE"/>
        </w:rPr>
        <w:t xml:space="preserve"> vụ tai nạn giao thông, làm chết 832 người và bị thương </w:t>
      </w:r>
      <w:r w:rsidRPr="00C62BC1">
        <w:rPr>
          <w:lang w:val="vi-VN"/>
        </w:rPr>
        <w:t>1</w:t>
      </w:r>
      <w:r w:rsidRPr="00C62BC1">
        <w:rPr>
          <w:lang w:val="de-DE"/>
        </w:rPr>
        <w:t>.</w:t>
      </w:r>
      <w:r w:rsidRPr="00C62BC1">
        <w:rPr>
          <w:lang w:val="vi-VN"/>
        </w:rPr>
        <w:t>042</w:t>
      </w:r>
      <w:r w:rsidRPr="00C62BC1">
        <w:rPr>
          <w:lang w:val="de-DE"/>
        </w:rPr>
        <w:t xml:space="preserve"> người. So với tháng Mười, số vụ tai nạn giao thông giảm 0,8%; số người chết giảm 1,3%; số người bị thương tăng 2,4%. So với cùng kỳ năm 2024, số vụ tai nạn giao thông </w:t>
      </w:r>
      <w:r w:rsidRPr="00C62BC1">
        <w:rPr>
          <w:lang w:val="vi-VN"/>
        </w:rPr>
        <w:t xml:space="preserve">giảm </w:t>
      </w:r>
      <w:r w:rsidRPr="00C62BC1">
        <w:rPr>
          <w:lang w:val="de-DE"/>
        </w:rPr>
        <w:t xml:space="preserve">25,8%; số người chết </w:t>
      </w:r>
      <w:r w:rsidRPr="00C62BC1">
        <w:rPr>
          <w:lang w:val="vi-VN"/>
        </w:rPr>
        <w:t xml:space="preserve">giảm </w:t>
      </w:r>
      <w:r w:rsidRPr="00C62BC1">
        <w:rPr>
          <w:lang w:val="de-DE"/>
        </w:rPr>
        <w:t xml:space="preserve">17,5%; số người bị thương </w:t>
      </w:r>
      <w:r w:rsidRPr="00C62BC1">
        <w:rPr>
          <w:lang w:val="vi-VN"/>
        </w:rPr>
        <w:t xml:space="preserve">giảm </w:t>
      </w:r>
      <w:r w:rsidRPr="00C62BC1">
        <w:rPr>
          <w:lang w:val="de-DE"/>
        </w:rPr>
        <w:t xml:space="preserve">27,4%. </w:t>
      </w:r>
    </w:p>
    <w:p w14:paraId="4E852D82" w14:textId="77777777" w:rsidR="00EF7A8C" w:rsidRPr="00C62BC1" w:rsidRDefault="00EF7A8C" w:rsidP="00AE2668">
      <w:pPr>
        <w:tabs>
          <w:tab w:val="left" w:pos="567"/>
        </w:tabs>
        <w:spacing w:after="120" w:line="252" w:lineRule="auto"/>
        <w:ind w:firstLine="720"/>
        <w:jc w:val="both"/>
        <w:rPr>
          <w:spacing w:val="-4"/>
          <w:lang w:val="de-DE"/>
        </w:rPr>
      </w:pPr>
      <w:r w:rsidRPr="00C62BC1">
        <w:rPr>
          <w:spacing w:val="-4"/>
          <w:lang w:val="de-DE"/>
        </w:rPr>
        <w:t xml:space="preserve">Tính chung mười một tháng năm 2025, trên địa bàn cả nước xảy ra </w:t>
      </w:r>
      <w:r w:rsidRPr="00C62BC1">
        <w:rPr>
          <w:spacing w:val="-4"/>
          <w:lang w:val="vi-VN"/>
        </w:rPr>
        <w:t>16</w:t>
      </w:r>
      <w:r w:rsidRPr="00C62BC1">
        <w:rPr>
          <w:spacing w:val="-4"/>
          <w:lang w:val="de-DE"/>
        </w:rPr>
        <w:t>.</w:t>
      </w:r>
      <w:r w:rsidRPr="00C62BC1">
        <w:rPr>
          <w:spacing w:val="-4"/>
          <w:lang w:val="vi-VN"/>
        </w:rPr>
        <w:t xml:space="preserve">816 </w:t>
      </w:r>
      <w:r w:rsidRPr="00C62BC1">
        <w:rPr>
          <w:spacing w:val="-4"/>
          <w:lang w:val="de-DE"/>
        </w:rPr>
        <w:t xml:space="preserve">vụ tai nạn giao thông, làm chết </w:t>
      </w:r>
      <w:r w:rsidRPr="00C62BC1">
        <w:rPr>
          <w:spacing w:val="-4"/>
          <w:lang w:val="vi-VN"/>
        </w:rPr>
        <w:t>9</w:t>
      </w:r>
      <w:r w:rsidRPr="00C62BC1">
        <w:rPr>
          <w:spacing w:val="-4"/>
          <w:lang w:val="de-DE"/>
        </w:rPr>
        <w:t>.</w:t>
      </w:r>
      <w:r w:rsidRPr="00C62BC1">
        <w:rPr>
          <w:spacing w:val="-4"/>
          <w:lang w:val="vi-VN"/>
        </w:rPr>
        <w:t xml:space="preserve">502 </w:t>
      </w:r>
      <w:r w:rsidRPr="00C62BC1">
        <w:rPr>
          <w:spacing w:val="-4"/>
          <w:lang w:val="de-DE"/>
        </w:rPr>
        <w:t xml:space="preserve">người và bị thương </w:t>
      </w:r>
      <w:r w:rsidRPr="00C62BC1">
        <w:rPr>
          <w:spacing w:val="-4"/>
          <w:lang w:val="vi-VN"/>
        </w:rPr>
        <w:t>11</w:t>
      </w:r>
      <w:r w:rsidRPr="00C62BC1">
        <w:rPr>
          <w:spacing w:val="-4"/>
          <w:lang w:val="de-DE"/>
        </w:rPr>
        <w:t>.</w:t>
      </w:r>
      <w:r w:rsidRPr="00C62BC1">
        <w:rPr>
          <w:spacing w:val="-4"/>
          <w:lang w:val="vi-VN"/>
        </w:rPr>
        <w:t xml:space="preserve">142 </w:t>
      </w:r>
      <w:r w:rsidRPr="00C62BC1">
        <w:rPr>
          <w:spacing w:val="-4"/>
          <w:lang w:val="de-DE"/>
        </w:rPr>
        <w:t xml:space="preserve">người. So với cùng kỳ năm trước, số vụ tai nạn giao thông giảm 22,3%; số người chết giảm 6,6%; số người bị thương giảm 29,8%. Bình quân một ngày trong mười một tháng năm 2025, trên địa bàn cả nước xảy ra </w:t>
      </w:r>
      <w:r w:rsidRPr="00C62BC1">
        <w:rPr>
          <w:spacing w:val="-4"/>
          <w:lang w:val="vi-VN"/>
        </w:rPr>
        <w:t>50</w:t>
      </w:r>
      <w:r w:rsidRPr="00C62BC1">
        <w:rPr>
          <w:spacing w:val="-4"/>
          <w:lang w:val="de-DE"/>
        </w:rPr>
        <w:t xml:space="preserve"> vụ tai nạn giao thông, làm </w:t>
      </w:r>
      <w:r w:rsidRPr="00C62BC1">
        <w:rPr>
          <w:spacing w:val="-4"/>
          <w:lang w:val="vi-VN"/>
        </w:rPr>
        <w:t>28</w:t>
      </w:r>
      <w:r w:rsidRPr="00C62BC1">
        <w:rPr>
          <w:spacing w:val="-4"/>
          <w:lang w:val="de-DE"/>
        </w:rPr>
        <w:t xml:space="preserve"> người chết, </w:t>
      </w:r>
      <w:r w:rsidRPr="00C62BC1">
        <w:rPr>
          <w:spacing w:val="-4"/>
          <w:lang w:val="vi-VN"/>
        </w:rPr>
        <w:t>3</w:t>
      </w:r>
      <w:r w:rsidRPr="00C62BC1">
        <w:rPr>
          <w:spacing w:val="-4"/>
          <w:lang w:val="de-DE"/>
        </w:rPr>
        <w:t xml:space="preserve">3 người bị thương. </w:t>
      </w:r>
    </w:p>
    <w:p w14:paraId="662FAF90" w14:textId="099CAB64" w:rsidR="00EF7A8C" w:rsidRPr="00C62BC1" w:rsidRDefault="00EF7A8C" w:rsidP="0028020A">
      <w:pPr>
        <w:spacing w:after="120" w:line="264" w:lineRule="auto"/>
        <w:ind w:firstLine="720"/>
        <w:jc w:val="both"/>
        <w:rPr>
          <w:b/>
          <w:i/>
          <w:lang w:val="pl-PL"/>
        </w:rPr>
      </w:pPr>
      <w:r w:rsidRPr="00C62BC1">
        <w:rPr>
          <w:b/>
          <w:i/>
          <w:lang w:val="pl-PL"/>
        </w:rPr>
        <w:t>đ) Thiệt hại do thiên tai</w:t>
      </w:r>
    </w:p>
    <w:p w14:paraId="12840805" w14:textId="243E365C" w:rsidR="00A71953" w:rsidRPr="00EC08AF" w:rsidRDefault="00A71953" w:rsidP="0028020A">
      <w:pPr>
        <w:widowControl w:val="0"/>
        <w:spacing w:after="120" w:line="264" w:lineRule="auto"/>
        <w:ind w:firstLine="720"/>
        <w:jc w:val="both"/>
        <w:rPr>
          <w:lang w:val="es-CL"/>
        </w:rPr>
      </w:pPr>
      <w:r>
        <w:rPr>
          <w:bCs/>
          <w:iCs/>
          <w:spacing w:val="-2"/>
          <w:lang w:val="de-DE"/>
        </w:rPr>
        <w:t>Theo số liệu của Bộ Nông nghiệp và Môi trường, t</w:t>
      </w:r>
      <w:r w:rsidRPr="00EC08AF">
        <w:rPr>
          <w:lang w:val="es-CL"/>
        </w:rPr>
        <w:t xml:space="preserve">ính </w:t>
      </w:r>
      <w:r w:rsidR="00627009">
        <w:rPr>
          <w:lang w:val="es-CL"/>
        </w:rPr>
        <w:t xml:space="preserve">từ đầu năm </w:t>
      </w:r>
      <w:r w:rsidRPr="00EC08AF">
        <w:rPr>
          <w:lang w:val="es-CL"/>
        </w:rPr>
        <w:t>đến ngày 05/12/2025, thiên tai trên cả nước đã làm 420 người chết, mất tích</w:t>
      </w:r>
      <w:r>
        <w:rPr>
          <w:lang w:val="es-CL"/>
        </w:rPr>
        <w:t>;</w:t>
      </w:r>
      <w:r w:rsidRPr="00EC08AF">
        <w:rPr>
          <w:lang w:val="es-CL"/>
        </w:rPr>
        <w:t xml:space="preserve"> 730 người bị thương; 4.193 nhà bị sập, đổ, trôi</w:t>
      </w:r>
      <w:r>
        <w:rPr>
          <w:lang w:val="es-CL"/>
        </w:rPr>
        <w:t>;</w:t>
      </w:r>
      <w:r w:rsidRPr="00EC08AF">
        <w:rPr>
          <w:lang w:val="es-CL"/>
        </w:rPr>
        <w:t xml:space="preserve"> 347.883 nhà bị hư hỏng, tốc mái; 541.204 ha lúa, hoa màu bị ngập úng, thiệt hại; 73.300 con gia súc, 5,1 triệu con gia cầm bị chết, cuốn trôi; 171.763 lồng bè thủy sản bị thiệt hại; 1.032km đê, kè, kênh </w:t>
      </w:r>
      <w:r w:rsidRPr="00EC08AF">
        <w:rPr>
          <w:lang w:val="es-CL"/>
        </w:rPr>
        <w:lastRenderedPageBreak/>
        <w:t>mương bị thiệt hại; 115km bờ sông, bờ biển bị sạt lở; 1.258 km đường giao thông bị thiệt hại với tổng khối lượng đất đá bị sạt lở là 14,5 triệu m</w:t>
      </w:r>
      <w:r w:rsidRPr="0028020A">
        <w:rPr>
          <w:vertAlign w:val="superscript"/>
          <w:lang w:val="es-CL"/>
        </w:rPr>
        <w:t>3</w:t>
      </w:r>
      <w:r w:rsidRPr="00EC08AF">
        <w:rPr>
          <w:lang w:val="es-CL"/>
        </w:rPr>
        <w:t>... Tổng thiệt hại ước tính trên 99.469 tỷ đồng.</w:t>
      </w:r>
    </w:p>
    <w:p w14:paraId="15F60B0A" w14:textId="77777777" w:rsidR="00EF7A8C" w:rsidRPr="00C62BC1" w:rsidRDefault="00EF7A8C" w:rsidP="00AE2668">
      <w:pPr>
        <w:tabs>
          <w:tab w:val="left" w:pos="426"/>
          <w:tab w:val="left" w:pos="900"/>
        </w:tabs>
        <w:spacing w:after="120" w:line="252" w:lineRule="auto"/>
        <w:ind w:firstLine="720"/>
        <w:jc w:val="both"/>
        <w:rPr>
          <w:rFonts w:eastAsia="Calibri"/>
          <w:b/>
          <w:i/>
          <w:lang w:val="de-DE"/>
        </w:rPr>
      </w:pPr>
      <w:r w:rsidRPr="00C62BC1">
        <w:rPr>
          <w:rFonts w:eastAsia="Calibri"/>
          <w:b/>
          <w:i/>
          <w:lang w:val="de-DE"/>
        </w:rPr>
        <w:t>e)</w:t>
      </w:r>
      <w:r w:rsidRPr="00C62BC1">
        <w:rPr>
          <w:b/>
          <w:i/>
          <w:lang w:val="pl-PL"/>
        </w:rPr>
        <w:t xml:space="preserve"> Bảo vệ môi trường và phòng chống cháy, nổ</w:t>
      </w:r>
    </w:p>
    <w:p w14:paraId="1B122DFD" w14:textId="77777777" w:rsidR="00EF7A8C" w:rsidRPr="00C62BC1" w:rsidRDefault="00EF7A8C" w:rsidP="00AE2668">
      <w:pPr>
        <w:tabs>
          <w:tab w:val="left" w:pos="426"/>
          <w:tab w:val="left" w:pos="900"/>
        </w:tabs>
        <w:spacing w:after="120" w:line="252" w:lineRule="auto"/>
        <w:ind w:firstLine="720"/>
        <w:jc w:val="both"/>
        <w:rPr>
          <w:rFonts w:eastAsia="Calibri"/>
          <w:lang w:val="de-DE"/>
        </w:rPr>
      </w:pPr>
      <w:r w:rsidRPr="00C62BC1">
        <w:rPr>
          <w:rFonts w:eastAsia="Calibri"/>
          <w:lang w:val="de-DE"/>
        </w:rPr>
        <w:t>Trong tháng Mười Một (từ 18/10-</w:t>
      </w:r>
      <w:r w:rsidRPr="00C62BC1">
        <w:rPr>
          <w:rFonts w:eastAsia="Calibri"/>
          <w:lang w:val="vi-VN"/>
        </w:rPr>
        <w:t>17</w:t>
      </w:r>
      <w:r w:rsidRPr="00C62BC1">
        <w:rPr>
          <w:rFonts w:eastAsia="Calibri"/>
          <w:lang w:val="de-DE"/>
        </w:rPr>
        <w:t>/11/2025)</w:t>
      </w:r>
      <w:r w:rsidRPr="00C62BC1">
        <w:rPr>
          <w:rFonts w:eastAsia="Calibri"/>
          <w:vertAlign w:val="superscript"/>
          <w:lang w:val="de-DE"/>
        </w:rPr>
        <w:footnoteReference w:id="37"/>
      </w:r>
      <w:r w:rsidRPr="00C62BC1">
        <w:rPr>
          <w:rFonts w:eastAsia="Calibri"/>
          <w:lang w:val="de-DE"/>
        </w:rPr>
        <w:t xml:space="preserve">, các cơ quan chức năng phát hiện </w:t>
      </w:r>
      <w:r w:rsidRPr="00C62BC1">
        <w:rPr>
          <w:noProof/>
          <w:spacing w:val="-2"/>
          <w:lang w:val="de-DE"/>
        </w:rPr>
        <w:t>1.640</w:t>
      </w:r>
      <w:r w:rsidRPr="00C62BC1">
        <w:rPr>
          <w:rFonts w:eastAsia="Calibri"/>
          <w:lang w:val="de-DE"/>
        </w:rPr>
        <w:t xml:space="preserve"> vụ vi phạm môi trường tại </w:t>
      </w:r>
      <w:r w:rsidRPr="00C62BC1">
        <w:rPr>
          <w:noProof/>
          <w:lang w:val="de-DE"/>
        </w:rPr>
        <w:t xml:space="preserve">34 địa phương, </w:t>
      </w:r>
      <w:r w:rsidRPr="00C62BC1">
        <w:rPr>
          <w:rFonts w:eastAsia="Calibri"/>
          <w:lang w:val="de-DE"/>
        </w:rPr>
        <w:t xml:space="preserve">trong đó xử lý </w:t>
      </w:r>
      <w:r w:rsidRPr="00C62BC1">
        <w:rPr>
          <w:noProof/>
          <w:spacing w:val="-2"/>
          <w:lang w:val="de-DE"/>
        </w:rPr>
        <w:t>1.292</w:t>
      </w:r>
      <w:r w:rsidRPr="00C62BC1">
        <w:rPr>
          <w:rFonts w:eastAsia="Calibri"/>
          <w:lang w:val="de-DE"/>
        </w:rPr>
        <w:t xml:space="preserve"> vụ với tổng số tiền phạt 27,5</w:t>
      </w:r>
      <w:r w:rsidRPr="00C62BC1">
        <w:rPr>
          <w:rFonts w:eastAsia="Calibri"/>
          <w:lang w:val="vi-VN"/>
        </w:rPr>
        <w:t xml:space="preserve"> </w:t>
      </w:r>
      <w:r w:rsidRPr="00C62BC1">
        <w:rPr>
          <w:rFonts w:eastAsia="Calibri"/>
          <w:lang w:val="de-DE"/>
        </w:rPr>
        <w:t xml:space="preserve">tỷ đồng, giảm 0,7% so với tháng trước và tăng 4,4% so với cùng kỳ năm trước. Tính chung mười một tháng năm nay, các cơ quan chức năng phát hiện </w:t>
      </w:r>
      <w:r w:rsidRPr="00C62BC1">
        <w:rPr>
          <w:noProof/>
          <w:spacing w:val="-2"/>
          <w:lang w:val="de-DE"/>
        </w:rPr>
        <w:t xml:space="preserve">15.717 </w:t>
      </w:r>
      <w:r w:rsidRPr="00C62BC1">
        <w:rPr>
          <w:rFonts w:eastAsia="Calibri"/>
          <w:lang w:val="de-DE"/>
        </w:rPr>
        <w:t xml:space="preserve">vụ vi phạm môi trường, trong đó xử lý </w:t>
      </w:r>
      <w:r w:rsidRPr="00C62BC1">
        <w:rPr>
          <w:noProof/>
          <w:spacing w:val="-2"/>
          <w:lang w:val="de-DE"/>
        </w:rPr>
        <w:t xml:space="preserve">13.862 </w:t>
      </w:r>
      <w:r w:rsidRPr="00C62BC1">
        <w:rPr>
          <w:rFonts w:eastAsia="Calibri"/>
          <w:lang w:val="de-DE"/>
        </w:rPr>
        <w:t>vụ với tổng số tiền phạt gần 220,2</w:t>
      </w:r>
      <w:r w:rsidRPr="00C62BC1">
        <w:rPr>
          <w:rFonts w:eastAsia="Calibri"/>
          <w:lang w:val="vi-VN"/>
        </w:rPr>
        <w:t xml:space="preserve"> </w:t>
      </w:r>
      <w:r w:rsidRPr="00C62BC1">
        <w:rPr>
          <w:rFonts w:eastAsia="Calibri"/>
          <w:lang w:val="de-DE"/>
        </w:rPr>
        <w:t>tỷ đồng, giảm 21,6% so với cùng kỳ năm trước.</w:t>
      </w:r>
    </w:p>
    <w:p w14:paraId="1FEA278E" w14:textId="6E3E6117" w:rsidR="00EF7A8C" w:rsidRPr="00C62BC1" w:rsidRDefault="00EF7A8C" w:rsidP="00AE2668">
      <w:pPr>
        <w:spacing w:after="120" w:line="252" w:lineRule="auto"/>
        <w:ind w:firstLine="720"/>
        <w:jc w:val="both"/>
        <w:rPr>
          <w:rFonts w:eastAsia="Calibri"/>
          <w:b/>
          <w:i/>
          <w:lang w:val="de-DE"/>
        </w:rPr>
      </w:pPr>
      <w:r w:rsidRPr="00C62BC1">
        <w:rPr>
          <w:rFonts w:eastAsia="Calibri"/>
          <w:lang w:val="de-DE"/>
        </w:rPr>
        <w:t>Trong tháng Mười Một (từ 15/10-14/11/2025)</w:t>
      </w:r>
      <w:r w:rsidRPr="00C62BC1">
        <w:rPr>
          <w:rFonts w:eastAsia="Calibri"/>
          <w:vertAlign w:val="superscript"/>
          <w:lang w:val="de-DE"/>
        </w:rPr>
        <w:footnoteReference w:id="38"/>
      </w:r>
      <w:r w:rsidRPr="00C62BC1">
        <w:rPr>
          <w:rFonts w:eastAsia="Calibri"/>
          <w:lang w:val="de-DE"/>
        </w:rPr>
        <w:t xml:space="preserve">, cả nước xảy ra </w:t>
      </w:r>
      <w:r w:rsidRPr="00C62BC1">
        <w:rPr>
          <w:noProof/>
          <w:lang w:val="de-DE"/>
        </w:rPr>
        <w:t>212</w:t>
      </w:r>
      <w:r w:rsidRPr="00C62BC1">
        <w:rPr>
          <w:rFonts w:eastAsia="Calibri"/>
          <w:lang w:val="de-DE"/>
        </w:rPr>
        <w:t xml:space="preserve"> vụ cháy, nổ, làm 4 người chết và 5 người bị thương, thiệt hại ước tính 30,2</w:t>
      </w:r>
      <w:r w:rsidRPr="00C62BC1">
        <w:rPr>
          <w:rFonts w:eastAsia="Calibri"/>
          <w:lang w:val="vi-VN"/>
        </w:rPr>
        <w:t xml:space="preserve"> </w:t>
      </w:r>
      <w:r w:rsidRPr="00C62BC1">
        <w:rPr>
          <w:rFonts w:eastAsia="Calibri"/>
          <w:lang w:val="de-DE"/>
        </w:rPr>
        <w:t>tỷ đồng, giảm 39,0</w:t>
      </w:r>
      <w:r w:rsidRPr="00C62BC1">
        <w:rPr>
          <w:rFonts w:eastAsia="Calibri"/>
          <w:lang w:val="vi-VN"/>
        </w:rPr>
        <w:t>% so với</w:t>
      </w:r>
      <w:r w:rsidRPr="00C62BC1">
        <w:rPr>
          <w:rFonts w:eastAsia="Calibri"/>
          <w:lang w:val="de-DE"/>
        </w:rPr>
        <w:t xml:space="preserve"> tháng trước và giảm 65,0% so với</w:t>
      </w:r>
      <w:r w:rsidRPr="00C62BC1">
        <w:rPr>
          <w:rFonts w:eastAsia="Calibri"/>
          <w:lang w:val="vi-VN"/>
        </w:rPr>
        <w:t xml:space="preserve"> </w:t>
      </w:r>
      <w:r w:rsidRPr="00C62BC1">
        <w:rPr>
          <w:rFonts w:eastAsia="Calibri"/>
          <w:lang w:val="de-DE"/>
        </w:rPr>
        <w:t xml:space="preserve">cùng kỳ năm trước. Tính chung mười một tháng năm nay, trên địa bàn cả nước xảy ra </w:t>
      </w:r>
      <w:r w:rsidRPr="00C62BC1">
        <w:rPr>
          <w:rFonts w:eastAsia="Calibri"/>
          <w:lang w:val="vi-VN"/>
        </w:rPr>
        <w:t>2</w:t>
      </w:r>
      <w:r w:rsidRPr="00C62BC1">
        <w:rPr>
          <w:rFonts w:eastAsia="Calibri"/>
          <w:lang w:val="de-DE"/>
        </w:rPr>
        <w:t>.</w:t>
      </w:r>
      <w:r w:rsidRPr="00C62BC1">
        <w:rPr>
          <w:rFonts w:eastAsia="Calibri"/>
          <w:lang w:val="vi-VN"/>
        </w:rPr>
        <w:t>894</w:t>
      </w:r>
      <w:r w:rsidRPr="00C62BC1">
        <w:rPr>
          <w:rFonts w:eastAsia="Calibri"/>
          <w:lang w:val="de-DE"/>
        </w:rPr>
        <w:t xml:space="preserve"> vụ cháy, nổ, làm 101 người chết và 112 người bị thương, thiệt hại ước tính 318,7 tỷ đồng, giảm</w:t>
      </w:r>
      <w:r w:rsidRPr="00C62BC1">
        <w:rPr>
          <w:rFonts w:eastAsia="Calibri"/>
          <w:lang w:val="vi-VN"/>
        </w:rPr>
        <w:t xml:space="preserve"> </w:t>
      </w:r>
      <w:r w:rsidRPr="00C62BC1">
        <w:rPr>
          <w:rFonts w:eastAsia="Calibri"/>
          <w:lang w:val="de-DE"/>
        </w:rPr>
        <w:t>32,6</w:t>
      </w:r>
      <w:r w:rsidRPr="00C62BC1">
        <w:rPr>
          <w:rFonts w:eastAsia="Calibri"/>
          <w:lang w:val="vi-VN"/>
        </w:rPr>
        <w:t>% so với</w:t>
      </w:r>
      <w:r w:rsidRPr="00C62BC1">
        <w:rPr>
          <w:rFonts w:eastAsia="Calibri"/>
          <w:lang w:val="de-DE"/>
        </w:rPr>
        <w:t xml:space="preserve"> cùng kỳ năm trước./.</w:t>
      </w:r>
    </w:p>
    <w:tbl>
      <w:tblPr>
        <w:tblStyle w:val="TableGrid1"/>
        <w:tblpPr w:leftFromText="181" w:rightFromText="181" w:vertAnchor="text" w:tblpX="10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562"/>
      </w:tblGrid>
      <w:tr w:rsidR="00951742" w:rsidRPr="00951742" w14:paraId="6F0660F3" w14:textId="77777777" w:rsidTr="00267E54">
        <w:tc>
          <w:tcPr>
            <w:tcW w:w="4533" w:type="dxa"/>
          </w:tcPr>
          <w:p w14:paraId="261355F6" w14:textId="77777777" w:rsidR="00AE05A0" w:rsidRPr="00C62BC1" w:rsidRDefault="00AE05A0" w:rsidP="00AE05A0">
            <w:pPr>
              <w:ind w:left="-57"/>
              <w:rPr>
                <w:rFonts w:eastAsia="Calibri"/>
                <w:b/>
                <w:i/>
                <w:sz w:val="24"/>
                <w:szCs w:val="22"/>
                <w:lang w:val="de-DE"/>
              </w:rPr>
            </w:pPr>
            <w:r w:rsidRPr="00C62BC1">
              <w:rPr>
                <w:rFonts w:eastAsia="Calibri"/>
                <w:b/>
                <w:i/>
                <w:sz w:val="24"/>
                <w:szCs w:val="22"/>
                <w:lang w:val="de-DE"/>
              </w:rPr>
              <w:t>Nơi nhận:</w:t>
            </w:r>
          </w:p>
          <w:p w14:paraId="4ED586E6" w14:textId="77777777" w:rsidR="00AE05A0" w:rsidRPr="00C62BC1" w:rsidRDefault="00AE05A0" w:rsidP="00AE05A0">
            <w:pPr>
              <w:ind w:left="-57"/>
              <w:rPr>
                <w:rFonts w:eastAsia="Calibri"/>
                <w:sz w:val="22"/>
                <w:szCs w:val="22"/>
                <w:lang w:val="de-DE"/>
              </w:rPr>
            </w:pPr>
            <w:r w:rsidRPr="00C62BC1">
              <w:rPr>
                <w:rFonts w:eastAsia="Calibri"/>
                <w:sz w:val="22"/>
                <w:szCs w:val="22"/>
                <w:lang w:val="de-DE"/>
              </w:rPr>
              <w:t>- Tổng Bí thư;</w:t>
            </w:r>
          </w:p>
          <w:p w14:paraId="70A4F8CC" w14:textId="77777777" w:rsidR="00AE05A0" w:rsidRPr="00C62BC1" w:rsidRDefault="00AE05A0" w:rsidP="00AE05A0">
            <w:pPr>
              <w:ind w:left="-57"/>
              <w:rPr>
                <w:rFonts w:eastAsia="Calibri"/>
                <w:sz w:val="22"/>
                <w:szCs w:val="22"/>
                <w:lang w:val="de-DE"/>
              </w:rPr>
            </w:pPr>
            <w:r w:rsidRPr="00C62BC1">
              <w:rPr>
                <w:rFonts w:eastAsia="Calibri"/>
                <w:sz w:val="22"/>
                <w:szCs w:val="22"/>
                <w:lang w:val="de-DE"/>
              </w:rPr>
              <w:t>- Chủ tịch nước;</w:t>
            </w:r>
          </w:p>
          <w:p w14:paraId="03E9A2BF" w14:textId="77777777" w:rsidR="00AE05A0" w:rsidRPr="00C62BC1" w:rsidRDefault="00AE05A0" w:rsidP="00AE05A0">
            <w:pPr>
              <w:ind w:left="-57"/>
              <w:rPr>
                <w:rFonts w:eastAsia="Calibri"/>
                <w:sz w:val="22"/>
                <w:szCs w:val="22"/>
                <w:lang w:val="de-DE"/>
              </w:rPr>
            </w:pPr>
            <w:r w:rsidRPr="00C62BC1">
              <w:rPr>
                <w:rFonts w:eastAsia="Calibri"/>
                <w:sz w:val="22"/>
                <w:szCs w:val="22"/>
                <w:lang w:val="de-DE"/>
              </w:rPr>
              <w:t>- Chủ tịch Quốc hội;</w:t>
            </w:r>
          </w:p>
          <w:p w14:paraId="35153DF2" w14:textId="77777777" w:rsidR="00AE05A0" w:rsidRPr="00C62BC1" w:rsidRDefault="00AE05A0" w:rsidP="00AE05A0">
            <w:pPr>
              <w:ind w:left="-57"/>
              <w:rPr>
                <w:rFonts w:eastAsia="Calibri"/>
                <w:sz w:val="22"/>
                <w:szCs w:val="22"/>
                <w:lang w:val="de-DE"/>
              </w:rPr>
            </w:pPr>
            <w:r w:rsidRPr="00C62BC1">
              <w:rPr>
                <w:rFonts w:eastAsia="Calibri"/>
                <w:sz w:val="22"/>
                <w:szCs w:val="22"/>
                <w:lang w:val="de-DE"/>
              </w:rPr>
              <w:t>- Thủ tướng Chính phủ;</w:t>
            </w:r>
          </w:p>
          <w:p w14:paraId="0AF64E79" w14:textId="77777777" w:rsidR="00AE05A0" w:rsidRPr="00C62BC1" w:rsidRDefault="00AE05A0" w:rsidP="00AE05A0">
            <w:pPr>
              <w:ind w:left="-57"/>
              <w:rPr>
                <w:rFonts w:eastAsia="Calibri"/>
                <w:sz w:val="22"/>
                <w:szCs w:val="22"/>
                <w:lang w:val="de-DE"/>
              </w:rPr>
            </w:pPr>
            <w:r w:rsidRPr="00C62BC1">
              <w:rPr>
                <w:rFonts w:eastAsia="Calibri"/>
                <w:sz w:val="22"/>
                <w:szCs w:val="22"/>
                <w:lang w:val="de-DE"/>
              </w:rPr>
              <w:t>- Các Phó Thủ tướng Chính phủ;</w:t>
            </w:r>
          </w:p>
          <w:p w14:paraId="262D3E77" w14:textId="77777777" w:rsidR="00AE05A0" w:rsidRPr="00C62BC1" w:rsidRDefault="00AE05A0" w:rsidP="00AE05A0">
            <w:pPr>
              <w:ind w:left="-57"/>
              <w:rPr>
                <w:rFonts w:eastAsia="Calibri"/>
                <w:sz w:val="22"/>
                <w:szCs w:val="22"/>
                <w:lang w:val="de-DE"/>
              </w:rPr>
            </w:pPr>
            <w:r w:rsidRPr="00C62BC1">
              <w:rPr>
                <w:rFonts w:eastAsia="Calibri"/>
                <w:sz w:val="22"/>
                <w:szCs w:val="22"/>
                <w:lang w:val="de-DE"/>
              </w:rPr>
              <w:t>- Lãnh đạo Bộ Tài chính;</w:t>
            </w:r>
          </w:p>
          <w:p w14:paraId="30C23226" w14:textId="77777777" w:rsidR="00AE05A0" w:rsidRPr="00C62BC1" w:rsidRDefault="00AE05A0" w:rsidP="00AE05A0">
            <w:pPr>
              <w:ind w:left="-57"/>
              <w:rPr>
                <w:rFonts w:eastAsia="Calibri"/>
                <w:sz w:val="22"/>
                <w:szCs w:val="22"/>
                <w:lang w:val="de-DE"/>
              </w:rPr>
            </w:pPr>
            <w:r w:rsidRPr="00C62BC1">
              <w:rPr>
                <w:rFonts w:eastAsia="Calibri"/>
                <w:sz w:val="22"/>
                <w:szCs w:val="22"/>
                <w:lang w:val="de-DE"/>
              </w:rPr>
              <w:t>- Các cơ quan thuộc Trung ương Đảng;</w:t>
            </w:r>
          </w:p>
          <w:p w14:paraId="250AAA42" w14:textId="77777777" w:rsidR="00AE05A0" w:rsidRPr="00C62BC1" w:rsidRDefault="00AE05A0" w:rsidP="00AE05A0">
            <w:pPr>
              <w:ind w:left="-57"/>
              <w:rPr>
                <w:rFonts w:eastAsia="Calibri"/>
                <w:sz w:val="22"/>
                <w:szCs w:val="22"/>
                <w:lang w:val="de-DE"/>
              </w:rPr>
            </w:pPr>
            <w:r w:rsidRPr="00C62BC1">
              <w:rPr>
                <w:rFonts w:eastAsia="Calibri"/>
                <w:sz w:val="22"/>
                <w:szCs w:val="22"/>
                <w:lang w:val="de-DE"/>
              </w:rPr>
              <w:t>- Văn phòng Chủ tịch nước;</w:t>
            </w:r>
          </w:p>
          <w:p w14:paraId="25326046" w14:textId="77777777" w:rsidR="00AE05A0" w:rsidRPr="00C62BC1" w:rsidRDefault="00AE05A0" w:rsidP="00AE05A0">
            <w:pPr>
              <w:ind w:left="-57"/>
              <w:rPr>
                <w:rFonts w:eastAsia="Calibri"/>
                <w:sz w:val="22"/>
                <w:szCs w:val="22"/>
                <w:lang w:val="de-DE"/>
              </w:rPr>
            </w:pPr>
            <w:r w:rsidRPr="00C62BC1">
              <w:rPr>
                <w:rFonts w:eastAsia="Calibri"/>
                <w:sz w:val="22"/>
                <w:szCs w:val="22"/>
                <w:lang w:val="de-DE"/>
              </w:rPr>
              <w:t>- Các cơ quan thuộc Quốc hội;</w:t>
            </w:r>
          </w:p>
          <w:p w14:paraId="18A41D0C" w14:textId="77777777" w:rsidR="00AE05A0" w:rsidRPr="00C62BC1" w:rsidRDefault="00AE05A0" w:rsidP="00AE05A0">
            <w:pPr>
              <w:ind w:left="-57"/>
              <w:rPr>
                <w:rFonts w:eastAsia="Calibri"/>
                <w:sz w:val="22"/>
                <w:szCs w:val="22"/>
                <w:lang w:val="de-DE"/>
              </w:rPr>
            </w:pPr>
            <w:r w:rsidRPr="00C62BC1">
              <w:rPr>
                <w:rFonts w:eastAsia="Calibri"/>
                <w:sz w:val="22"/>
                <w:szCs w:val="22"/>
                <w:lang w:val="de-DE"/>
              </w:rPr>
              <w:t>- Các Bộ, cơ quan ngang Bộ,</w:t>
            </w:r>
          </w:p>
          <w:p w14:paraId="6AFB1100" w14:textId="77777777" w:rsidR="00AE05A0" w:rsidRPr="00C62BC1" w:rsidRDefault="00AE05A0" w:rsidP="00AE05A0">
            <w:pPr>
              <w:ind w:left="-57"/>
              <w:rPr>
                <w:rFonts w:eastAsia="Calibri"/>
                <w:sz w:val="22"/>
                <w:szCs w:val="22"/>
                <w:lang w:val="de-DE"/>
              </w:rPr>
            </w:pPr>
            <w:r w:rsidRPr="00C62BC1">
              <w:rPr>
                <w:rFonts w:eastAsia="Calibri"/>
                <w:sz w:val="22"/>
                <w:szCs w:val="22"/>
                <w:lang w:val="de-DE"/>
              </w:rPr>
              <w:t xml:space="preserve">   cơ quan thuộc Chính phủ;</w:t>
            </w:r>
          </w:p>
          <w:p w14:paraId="3CC81D51" w14:textId="77777777" w:rsidR="00AE05A0" w:rsidRPr="00C62BC1" w:rsidRDefault="00AE05A0" w:rsidP="00AE05A0">
            <w:pPr>
              <w:ind w:left="-57"/>
              <w:rPr>
                <w:rFonts w:eastAsia="Calibri"/>
                <w:sz w:val="22"/>
                <w:szCs w:val="22"/>
                <w:lang w:val="de-DE"/>
              </w:rPr>
            </w:pPr>
            <w:r w:rsidRPr="00C62BC1">
              <w:rPr>
                <w:rFonts w:eastAsia="Calibri"/>
                <w:sz w:val="22"/>
                <w:szCs w:val="22"/>
                <w:lang w:val="de-DE"/>
              </w:rPr>
              <w:t>- Toà án Nhân dân tối cao;</w:t>
            </w:r>
          </w:p>
          <w:p w14:paraId="6419910D" w14:textId="77777777" w:rsidR="00AE05A0" w:rsidRPr="00C62BC1" w:rsidRDefault="00AE05A0" w:rsidP="00AE05A0">
            <w:pPr>
              <w:ind w:left="-57"/>
              <w:rPr>
                <w:rFonts w:eastAsia="Calibri"/>
                <w:sz w:val="22"/>
                <w:szCs w:val="22"/>
                <w:lang w:val="de-DE"/>
              </w:rPr>
            </w:pPr>
            <w:r w:rsidRPr="00C62BC1">
              <w:rPr>
                <w:rFonts w:eastAsia="Calibri"/>
                <w:sz w:val="22"/>
                <w:szCs w:val="22"/>
                <w:lang w:val="de-DE"/>
              </w:rPr>
              <w:t>- Viện Kiểm sát Nhân dân tối cao;</w:t>
            </w:r>
          </w:p>
          <w:p w14:paraId="43DE9DC1" w14:textId="77777777" w:rsidR="00AE05A0" w:rsidRPr="00C62BC1" w:rsidRDefault="00AE05A0" w:rsidP="00AE05A0">
            <w:pPr>
              <w:ind w:left="-57"/>
              <w:rPr>
                <w:rFonts w:eastAsia="Calibri"/>
                <w:sz w:val="22"/>
                <w:szCs w:val="22"/>
                <w:lang w:val="de-DE"/>
              </w:rPr>
            </w:pPr>
            <w:r w:rsidRPr="00C62BC1">
              <w:rPr>
                <w:rFonts w:eastAsia="Calibri"/>
                <w:sz w:val="22"/>
                <w:szCs w:val="22"/>
                <w:lang w:val="de-DE"/>
              </w:rPr>
              <w:t>- Các đoàn thể Trung ương;</w:t>
            </w:r>
          </w:p>
          <w:p w14:paraId="4E56BC85" w14:textId="77777777" w:rsidR="00AE05A0" w:rsidRPr="00C62BC1" w:rsidRDefault="00AE05A0" w:rsidP="00AE05A0">
            <w:pPr>
              <w:ind w:left="-57"/>
              <w:rPr>
                <w:rFonts w:eastAsia="Calibri"/>
                <w:sz w:val="22"/>
                <w:szCs w:val="22"/>
                <w:lang w:val="de-DE"/>
              </w:rPr>
            </w:pPr>
            <w:r w:rsidRPr="00C62BC1">
              <w:rPr>
                <w:rFonts w:eastAsia="Calibri"/>
                <w:sz w:val="22"/>
                <w:szCs w:val="22"/>
                <w:lang w:val="de-DE"/>
              </w:rPr>
              <w:t>- Các tỉnh, thành phố trực thuộc TW;</w:t>
            </w:r>
          </w:p>
          <w:p w14:paraId="708B1820" w14:textId="77777777" w:rsidR="00AE05A0" w:rsidRPr="00C62BC1" w:rsidRDefault="00AE05A0" w:rsidP="00AE05A0">
            <w:pPr>
              <w:ind w:left="-57"/>
              <w:rPr>
                <w:rFonts w:eastAsia="Calibri"/>
                <w:sz w:val="22"/>
                <w:szCs w:val="22"/>
                <w:lang w:val="de-DE"/>
              </w:rPr>
            </w:pPr>
            <w:r w:rsidRPr="00C62BC1">
              <w:rPr>
                <w:rFonts w:eastAsia="Calibri"/>
                <w:sz w:val="22"/>
                <w:szCs w:val="22"/>
                <w:lang w:val="de-DE"/>
              </w:rPr>
              <w:t>- Liên đoàn Thương mại và Công nghiệp VN;</w:t>
            </w:r>
          </w:p>
          <w:p w14:paraId="23296D5A" w14:textId="77777777" w:rsidR="00AE05A0" w:rsidRPr="00C62BC1" w:rsidRDefault="00AE05A0" w:rsidP="00AE05A0">
            <w:pPr>
              <w:ind w:left="-57"/>
              <w:rPr>
                <w:rFonts w:eastAsia="Calibri"/>
                <w:sz w:val="22"/>
                <w:szCs w:val="22"/>
                <w:lang w:val="de-DE"/>
              </w:rPr>
            </w:pPr>
            <w:r w:rsidRPr="00C62BC1">
              <w:rPr>
                <w:rFonts w:eastAsia="Calibri"/>
                <w:sz w:val="22"/>
                <w:szCs w:val="22"/>
                <w:lang w:val="de-DE"/>
              </w:rPr>
              <w:t>- Các đơn vị thuộc Bộ Tài chính;</w:t>
            </w:r>
          </w:p>
          <w:p w14:paraId="0754D490" w14:textId="77777777" w:rsidR="00AE05A0" w:rsidRPr="00C62BC1" w:rsidRDefault="00AE05A0" w:rsidP="00AE05A0">
            <w:pPr>
              <w:ind w:left="-57"/>
              <w:rPr>
                <w:rFonts w:eastAsia="Calibri"/>
                <w:sz w:val="22"/>
                <w:szCs w:val="22"/>
                <w:lang w:val="de-DE"/>
              </w:rPr>
            </w:pPr>
            <w:r w:rsidRPr="00C62BC1">
              <w:rPr>
                <w:rFonts w:eastAsia="Calibri"/>
                <w:sz w:val="22"/>
                <w:szCs w:val="22"/>
                <w:lang w:val="de-DE"/>
              </w:rPr>
              <w:t>- Cơ quan Thông tấn, báo chí;</w:t>
            </w:r>
          </w:p>
          <w:p w14:paraId="5C6B5AFF" w14:textId="77777777" w:rsidR="00AE05A0" w:rsidRPr="00C62BC1" w:rsidRDefault="00AE05A0" w:rsidP="00AE05A0">
            <w:pPr>
              <w:ind w:left="-57"/>
              <w:rPr>
                <w:rFonts w:eastAsia="Calibri"/>
                <w:sz w:val="22"/>
                <w:szCs w:val="22"/>
                <w:lang w:val="de-DE"/>
              </w:rPr>
            </w:pPr>
            <w:r w:rsidRPr="00C62BC1">
              <w:rPr>
                <w:rFonts w:eastAsia="Calibri"/>
                <w:sz w:val="22"/>
                <w:szCs w:val="22"/>
                <w:lang w:val="de-DE"/>
              </w:rPr>
              <w:t>- Các đơn vị thuộc CTK;</w:t>
            </w:r>
          </w:p>
          <w:p w14:paraId="1D8EDBCE" w14:textId="77777777" w:rsidR="00AE05A0" w:rsidRPr="00C62BC1" w:rsidRDefault="00AE05A0" w:rsidP="00AE05A0">
            <w:pPr>
              <w:ind w:left="-57"/>
              <w:rPr>
                <w:rFonts w:eastAsia="Calibri"/>
                <w:b/>
                <w:i/>
                <w:sz w:val="24"/>
                <w:szCs w:val="22"/>
                <w:lang w:val="en-GB"/>
              </w:rPr>
            </w:pPr>
            <w:r w:rsidRPr="00C62BC1">
              <w:rPr>
                <w:rFonts w:eastAsia="Calibri"/>
                <w:sz w:val="22"/>
                <w:szCs w:val="22"/>
                <w:lang w:val="en-GB"/>
              </w:rPr>
              <w:t>- Lưu: VT, THĐN.</w:t>
            </w:r>
          </w:p>
        </w:tc>
        <w:tc>
          <w:tcPr>
            <w:tcW w:w="4646" w:type="dxa"/>
          </w:tcPr>
          <w:p w14:paraId="0C932849" w14:textId="77777777" w:rsidR="00AE05A0" w:rsidRPr="00C62BC1" w:rsidRDefault="00AE05A0" w:rsidP="00AE05A0">
            <w:pPr>
              <w:shd w:val="clear" w:color="auto" w:fill="FFFFFF"/>
              <w:tabs>
                <w:tab w:val="left" w:pos="6540"/>
              </w:tabs>
              <w:ind w:firstLine="894"/>
              <w:jc w:val="center"/>
              <w:rPr>
                <w:rFonts w:eastAsia="Calibri"/>
                <w:b/>
                <w:bCs/>
                <w:lang w:val="en-GB"/>
              </w:rPr>
            </w:pPr>
            <w:r w:rsidRPr="00C62BC1">
              <w:rPr>
                <w:rFonts w:eastAsia="Calibri"/>
                <w:b/>
                <w:bCs/>
                <w:lang w:val="en-GB"/>
              </w:rPr>
              <w:t>CỤC TRƯỞNG</w:t>
            </w:r>
          </w:p>
          <w:p w14:paraId="047D1FB6" w14:textId="77777777" w:rsidR="00AE05A0" w:rsidRPr="00C62BC1" w:rsidRDefault="00AE05A0" w:rsidP="00AE05A0">
            <w:pPr>
              <w:ind w:firstLine="894"/>
              <w:jc w:val="center"/>
              <w:rPr>
                <w:rFonts w:eastAsia="Calibri"/>
                <w:b/>
                <w:bCs/>
                <w:lang w:val="en-GB"/>
              </w:rPr>
            </w:pPr>
          </w:p>
          <w:p w14:paraId="4F363C84" w14:textId="77777777" w:rsidR="00AE05A0" w:rsidRPr="00C62BC1" w:rsidRDefault="00AE05A0" w:rsidP="00AE05A0">
            <w:pPr>
              <w:ind w:firstLine="894"/>
              <w:jc w:val="center"/>
              <w:rPr>
                <w:rFonts w:eastAsia="Calibri"/>
                <w:b/>
                <w:bCs/>
                <w:lang w:val="en-GB"/>
              </w:rPr>
            </w:pPr>
          </w:p>
          <w:p w14:paraId="6EBC8504" w14:textId="77777777" w:rsidR="00AE05A0" w:rsidRPr="00C62BC1" w:rsidRDefault="00AE05A0" w:rsidP="00AE05A0">
            <w:pPr>
              <w:ind w:firstLine="894"/>
              <w:jc w:val="center"/>
              <w:rPr>
                <w:rFonts w:eastAsia="Calibri"/>
                <w:b/>
                <w:bCs/>
                <w:lang w:val="en-GB"/>
              </w:rPr>
            </w:pPr>
          </w:p>
          <w:p w14:paraId="5147EE54" w14:textId="77777777" w:rsidR="00AE05A0" w:rsidRPr="00C62BC1" w:rsidRDefault="00AE05A0" w:rsidP="00AE05A0">
            <w:pPr>
              <w:ind w:firstLine="894"/>
              <w:jc w:val="center"/>
              <w:rPr>
                <w:rFonts w:eastAsia="Calibri"/>
                <w:b/>
                <w:bCs/>
                <w:lang w:val="en-GB"/>
              </w:rPr>
            </w:pPr>
          </w:p>
          <w:p w14:paraId="4F8EDA5E" w14:textId="77777777" w:rsidR="00AE05A0" w:rsidRPr="00C62BC1" w:rsidRDefault="00AE05A0" w:rsidP="00AE05A0">
            <w:pPr>
              <w:ind w:firstLine="894"/>
              <w:jc w:val="center"/>
              <w:rPr>
                <w:rFonts w:eastAsia="Calibri"/>
                <w:b/>
                <w:bCs/>
                <w:lang w:val="en-GB"/>
              </w:rPr>
            </w:pPr>
          </w:p>
          <w:p w14:paraId="365C176C" w14:textId="77777777" w:rsidR="00AE05A0" w:rsidRPr="00C62BC1" w:rsidRDefault="00AE05A0" w:rsidP="00AE05A0">
            <w:pPr>
              <w:ind w:firstLine="894"/>
              <w:jc w:val="center"/>
              <w:rPr>
                <w:rFonts w:eastAsia="Calibri"/>
                <w:b/>
                <w:bCs/>
                <w:lang w:val="en-GB"/>
              </w:rPr>
            </w:pPr>
          </w:p>
          <w:p w14:paraId="05FB6AD2" w14:textId="77777777" w:rsidR="00AE05A0" w:rsidRPr="00C62BC1" w:rsidRDefault="00AE05A0" w:rsidP="00AE05A0">
            <w:pPr>
              <w:ind w:firstLine="894"/>
              <w:jc w:val="center"/>
              <w:rPr>
                <w:rFonts w:eastAsia="Calibri"/>
                <w:b/>
                <w:bCs/>
                <w:lang w:val="en-GB"/>
              </w:rPr>
            </w:pPr>
          </w:p>
          <w:p w14:paraId="193DB2F0" w14:textId="77777777" w:rsidR="00AE05A0" w:rsidRPr="00951742" w:rsidRDefault="00AE05A0" w:rsidP="00AE05A0">
            <w:pPr>
              <w:ind w:firstLine="894"/>
              <w:jc w:val="center"/>
              <w:rPr>
                <w:rFonts w:eastAsia="Calibri"/>
                <w:b/>
                <w:i/>
                <w:sz w:val="24"/>
                <w:szCs w:val="22"/>
                <w:lang w:val="en-GB"/>
              </w:rPr>
            </w:pPr>
            <w:r w:rsidRPr="00C62BC1">
              <w:rPr>
                <w:rFonts w:eastAsia="Calibri"/>
                <w:b/>
                <w:bCs/>
                <w:lang w:val="en-GB"/>
              </w:rPr>
              <w:t>Nguyễn Thị Hương</w:t>
            </w:r>
          </w:p>
        </w:tc>
      </w:tr>
    </w:tbl>
    <w:p w14:paraId="3EC86DC2" w14:textId="77777777" w:rsidR="00163059" w:rsidRPr="00951742" w:rsidRDefault="00163059"/>
    <w:sectPr w:rsidR="00163059" w:rsidRPr="00951742" w:rsidSect="009E6614">
      <w:headerReference w:type="default" r:id="rId27"/>
      <w:pgSz w:w="11907" w:h="16840" w:code="9"/>
      <w:pgMar w:top="1077" w:right="1134" w:bottom="1134" w:left="1797"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8066FB" w14:textId="77777777" w:rsidR="00BF449C" w:rsidRDefault="00BF449C" w:rsidP="00053768">
      <w:r>
        <w:separator/>
      </w:r>
    </w:p>
  </w:endnote>
  <w:endnote w:type="continuationSeparator" w:id="0">
    <w:p w14:paraId="1B200BE7" w14:textId="77777777" w:rsidR="00BF449C" w:rsidRDefault="00BF449C" w:rsidP="00053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Times New Roman Italic">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CBDF24" w14:textId="77777777" w:rsidR="00BF449C" w:rsidRDefault="00BF449C" w:rsidP="00053768">
      <w:r>
        <w:separator/>
      </w:r>
    </w:p>
  </w:footnote>
  <w:footnote w:type="continuationSeparator" w:id="0">
    <w:p w14:paraId="68ECE12F" w14:textId="77777777" w:rsidR="00BF449C" w:rsidRDefault="00BF449C" w:rsidP="00053768">
      <w:r>
        <w:continuationSeparator/>
      </w:r>
    </w:p>
  </w:footnote>
  <w:footnote w:id="1">
    <w:p w14:paraId="3C6EC219" w14:textId="5F498B8B" w:rsidR="0005300F" w:rsidRPr="00C62BC1" w:rsidRDefault="0005300F" w:rsidP="00C62BC1">
      <w:pPr>
        <w:pStyle w:val="NoSpacing"/>
        <w:spacing w:after="40"/>
        <w:ind w:left="142" w:hanging="142"/>
        <w:jc w:val="both"/>
        <w:rPr>
          <w:rFonts w:ascii="Times New Roman" w:hAnsi="Times New Roman" w:cs="Times New Roman"/>
          <w:spacing w:val="-10"/>
          <w:sz w:val="20"/>
          <w:szCs w:val="20"/>
        </w:rPr>
      </w:pPr>
      <w:r w:rsidRPr="00C62BC1">
        <w:rPr>
          <w:rStyle w:val="FootnoteReference"/>
          <w:rFonts w:ascii="Times New Roman" w:hAnsi="Times New Roman" w:cs="Times New Roman"/>
          <w:sz w:val="20"/>
          <w:szCs w:val="20"/>
        </w:rPr>
        <w:footnoteRef/>
      </w:r>
      <w:r w:rsidRPr="00C62BC1">
        <w:rPr>
          <w:rFonts w:ascii="Times New Roman" w:hAnsi="Times New Roman" w:cs="Times New Roman"/>
          <w:sz w:val="20"/>
          <w:szCs w:val="20"/>
        </w:rPr>
        <w:t xml:space="preserve"> </w:t>
      </w:r>
      <w:r w:rsidRPr="006A050D">
        <w:rPr>
          <w:rFonts w:ascii="Times New Roman" w:hAnsi="Times New Roman" w:cs="Times New Roman"/>
          <w:spacing w:val="-10"/>
          <w:sz w:val="20"/>
          <w:szCs w:val="20"/>
          <w:lang w:val="it-IT"/>
        </w:rPr>
        <w:t>Do bị ảnh hưởng của bão, mưa lớn và ngập trong tháng 10 làm chậm tiến độ thu hoạch lúa mùa từ tháng 10 đến tháng 11.</w:t>
      </w:r>
    </w:p>
  </w:footnote>
  <w:footnote w:id="2">
    <w:p w14:paraId="3258E002" w14:textId="1B026248" w:rsidR="00586EE5" w:rsidRPr="00C62BC1" w:rsidRDefault="00586EE5" w:rsidP="00C62BC1">
      <w:pPr>
        <w:pStyle w:val="NoSpacing"/>
        <w:spacing w:after="40"/>
        <w:ind w:left="142" w:hanging="142"/>
        <w:jc w:val="both"/>
        <w:rPr>
          <w:rFonts w:ascii="Times New Roman" w:hAnsi="Times New Roman" w:cs="Times New Roman"/>
          <w:sz w:val="20"/>
          <w:szCs w:val="20"/>
          <w:lang w:val="it-IT"/>
        </w:rPr>
      </w:pPr>
      <w:r w:rsidRPr="006A050D">
        <w:rPr>
          <w:rStyle w:val="FootnoteReference"/>
          <w:rFonts w:ascii="Times New Roman" w:hAnsi="Times New Roman" w:cs="Times New Roman"/>
          <w:sz w:val="20"/>
          <w:szCs w:val="20"/>
        </w:rPr>
        <w:footnoteRef/>
      </w:r>
      <w:r w:rsidRPr="006A050D">
        <w:rPr>
          <w:rFonts w:ascii="Times New Roman" w:hAnsi="Times New Roman" w:cs="Times New Roman"/>
          <w:sz w:val="20"/>
          <w:szCs w:val="20"/>
        </w:rPr>
        <w:t xml:space="preserve"> </w:t>
      </w:r>
      <w:r w:rsidR="0005300F" w:rsidRPr="006A050D">
        <w:rPr>
          <w:rFonts w:ascii="Times New Roman" w:hAnsi="Times New Roman" w:cs="Times New Roman"/>
          <w:sz w:val="20"/>
          <w:szCs w:val="20"/>
        </w:rPr>
        <w:t>N</w:t>
      </w:r>
      <w:r w:rsidRPr="006A050D">
        <w:rPr>
          <w:rFonts w:ascii="Times New Roman" w:hAnsi="Times New Roman" w:cs="Times New Roman"/>
          <w:spacing w:val="2"/>
          <w:sz w:val="20"/>
          <w:szCs w:val="20"/>
        </w:rPr>
        <w:t xml:space="preserve">guyên nhân </w:t>
      </w:r>
      <w:r w:rsidR="0005300F" w:rsidRPr="006A050D">
        <w:rPr>
          <w:rFonts w:ascii="Times New Roman" w:hAnsi="Times New Roman" w:cs="Times New Roman"/>
          <w:spacing w:val="2"/>
          <w:sz w:val="20"/>
          <w:szCs w:val="20"/>
        </w:rPr>
        <w:t xml:space="preserve">chủ yếu là </w:t>
      </w:r>
      <w:r w:rsidRPr="006A050D">
        <w:rPr>
          <w:rFonts w:ascii="Times New Roman" w:hAnsi="Times New Roman" w:cs="Times New Roman"/>
          <w:spacing w:val="2"/>
          <w:sz w:val="20"/>
          <w:szCs w:val="20"/>
        </w:rPr>
        <w:t>năng suất vụ lúa mùa năm trước đạt thấp do bị ảnh hưởng nặng nề bởi cơn bão Yagi (bão số 3) vào thời điểm cận thu hoạch</w:t>
      </w:r>
      <w:r w:rsidRPr="006A050D">
        <w:rPr>
          <w:rFonts w:ascii="Times New Roman" w:hAnsi="Times New Roman" w:cs="Times New Roman"/>
          <w:spacing w:val="-6"/>
          <w:sz w:val="20"/>
          <w:szCs w:val="20"/>
          <w:lang w:val="it-IT"/>
        </w:rPr>
        <w:t>.</w:t>
      </w:r>
      <w:r w:rsidR="00F06679" w:rsidRPr="006A050D">
        <w:rPr>
          <w:rFonts w:ascii="Times New Roman" w:hAnsi="Times New Roman" w:cs="Times New Roman"/>
          <w:spacing w:val="-6"/>
          <w:sz w:val="20"/>
          <w:szCs w:val="20"/>
          <w:lang w:val="it-IT"/>
        </w:rPr>
        <w:t xml:space="preserve"> </w:t>
      </w:r>
    </w:p>
  </w:footnote>
  <w:footnote w:id="3">
    <w:p w14:paraId="1696842C" w14:textId="77777777" w:rsidR="00586EE5" w:rsidRPr="00C62BC1" w:rsidRDefault="00586EE5" w:rsidP="00C62BC1">
      <w:pPr>
        <w:pStyle w:val="NoSpacing"/>
        <w:spacing w:after="40"/>
        <w:ind w:left="142" w:hanging="142"/>
        <w:jc w:val="both"/>
        <w:rPr>
          <w:rFonts w:ascii="Times New Roman" w:hAnsi="Times New Roman" w:cs="Times New Roman"/>
          <w:sz w:val="20"/>
          <w:szCs w:val="20"/>
          <w:lang w:val="it-IT"/>
        </w:rPr>
      </w:pPr>
      <w:r w:rsidRPr="00C62BC1">
        <w:rPr>
          <w:rStyle w:val="FootnoteReference"/>
          <w:rFonts w:ascii="Times New Roman" w:hAnsi="Times New Roman" w:cs="Times New Roman"/>
          <w:sz w:val="20"/>
          <w:szCs w:val="20"/>
        </w:rPr>
        <w:footnoteRef/>
      </w:r>
      <w:r w:rsidRPr="00C62BC1">
        <w:rPr>
          <w:rFonts w:ascii="Times New Roman" w:hAnsi="Times New Roman" w:cs="Times New Roman"/>
          <w:sz w:val="20"/>
          <w:szCs w:val="20"/>
          <w:lang w:val="it-IT"/>
        </w:rPr>
        <w:t xml:space="preserve"> </w:t>
      </w:r>
      <w:r w:rsidRPr="006A050D">
        <w:rPr>
          <w:rFonts w:ascii="Times New Roman" w:hAnsi="Times New Roman" w:cs="Times New Roman"/>
          <w:spacing w:val="-6"/>
          <w:sz w:val="20"/>
          <w:szCs w:val="20"/>
          <w:lang w:val="it-IT"/>
        </w:rPr>
        <w:t>Hưng Yên đạt 59,2 tạ/ha, tăng 15,2 tạ/ha; Hải Phòng tăng đạt 57,8 tạ/ha, 13,1 tạ/ha; Hà Nội đạt 55,8 tạ/ha, tăng 6,6 tạ/ha.</w:t>
      </w:r>
    </w:p>
  </w:footnote>
  <w:footnote w:id="4">
    <w:p w14:paraId="22AA959A" w14:textId="77777777" w:rsidR="00586EE5" w:rsidRPr="006A050D" w:rsidRDefault="00586EE5" w:rsidP="006A050D">
      <w:pPr>
        <w:pStyle w:val="FootnoteText"/>
        <w:spacing w:after="40"/>
        <w:ind w:left="142" w:hanging="142"/>
        <w:jc w:val="both"/>
        <w:rPr>
          <w:lang w:val="en-US"/>
        </w:rPr>
      </w:pPr>
      <w:r w:rsidRPr="006A050D">
        <w:rPr>
          <w:rStyle w:val="FootnoteReference"/>
        </w:rPr>
        <w:footnoteRef/>
      </w:r>
      <w:r w:rsidRPr="006A050D">
        <w:t xml:space="preserve"> </w:t>
      </w:r>
      <w:r w:rsidRPr="006A050D">
        <w:rPr>
          <w:lang w:val="en-GB"/>
        </w:rPr>
        <w:t>Một số địa phương trong tháng mưa nhiều, tiến độ trồng rừng chậm như: Khánh Hòa giảm 64,0% so với cùng kỳ năm trước; Gia Lai giảm 29,1%; Quảng Ngãi giảm 17,5%; Lạng Sơn giảm 10,5%.</w:t>
      </w:r>
    </w:p>
  </w:footnote>
  <w:footnote w:id="5">
    <w:p w14:paraId="0539EBB9" w14:textId="77777777" w:rsidR="00586EE5" w:rsidRPr="006A050D" w:rsidRDefault="00586EE5" w:rsidP="006A050D">
      <w:pPr>
        <w:pStyle w:val="FootnoteText"/>
        <w:spacing w:after="40"/>
        <w:ind w:left="142" w:hanging="142"/>
        <w:jc w:val="both"/>
        <w:rPr>
          <w:color w:val="FF0000"/>
          <w:lang w:val="en-US"/>
        </w:rPr>
      </w:pPr>
      <w:r w:rsidRPr="006A050D">
        <w:rPr>
          <w:rStyle w:val="FootnoteReference"/>
        </w:rPr>
        <w:footnoteRef/>
      </w:r>
      <w:r w:rsidRPr="006A050D">
        <w:t xml:space="preserve"> </w:t>
      </w:r>
      <w:r w:rsidRPr="006A050D">
        <w:rPr>
          <w:lang w:val="en-US"/>
        </w:rPr>
        <w:t xml:space="preserve">Một số tỉnh có sản lượng gỗ khai thác cao trong tháng như: Tuyên Quang tăng 6,1%, Thái Nguyên tăng 7,0%, Thanh Hóa tăng 8,3%. </w:t>
      </w:r>
    </w:p>
  </w:footnote>
  <w:footnote w:id="6">
    <w:p w14:paraId="1A14C338" w14:textId="77777777" w:rsidR="00586EE5" w:rsidRPr="006A050D" w:rsidRDefault="00586EE5" w:rsidP="00C62BC1">
      <w:pPr>
        <w:pStyle w:val="FootnoteText"/>
        <w:spacing w:after="40"/>
        <w:ind w:left="142" w:hanging="142"/>
        <w:jc w:val="both"/>
      </w:pPr>
      <w:r w:rsidRPr="006A050D">
        <w:rPr>
          <w:rStyle w:val="FootnoteReference"/>
        </w:rPr>
        <w:footnoteRef/>
      </w:r>
      <w:r w:rsidRPr="006A050D">
        <w:t xml:space="preserve"> Số liệu Bộ Nông nghiệp và </w:t>
      </w:r>
      <w:r w:rsidRPr="006A050D">
        <w:rPr>
          <w:lang w:val="en-GB"/>
        </w:rPr>
        <w:t>Môi trường</w:t>
      </w:r>
      <w:r w:rsidRPr="006A050D">
        <w:t xml:space="preserve"> tính đến 15/</w:t>
      </w:r>
      <w:r w:rsidRPr="006A050D">
        <w:rPr>
          <w:lang w:val="vi-VN"/>
        </w:rPr>
        <w:t>11</w:t>
      </w:r>
      <w:r w:rsidRPr="006A050D">
        <w:t>/2025.</w:t>
      </w:r>
    </w:p>
  </w:footnote>
  <w:footnote w:id="7">
    <w:p w14:paraId="2991F8DD" w14:textId="77777777" w:rsidR="00586EE5" w:rsidRPr="006A050D" w:rsidRDefault="00586EE5" w:rsidP="006A050D">
      <w:pPr>
        <w:pStyle w:val="FootnoteText"/>
        <w:spacing w:after="40"/>
        <w:ind w:left="142" w:hanging="142"/>
        <w:jc w:val="both"/>
        <w:rPr>
          <w:lang w:val="vi-VN"/>
        </w:rPr>
      </w:pPr>
      <w:r w:rsidRPr="006A050D">
        <w:rPr>
          <w:rStyle w:val="FootnoteReference"/>
        </w:rPr>
        <w:footnoteRef/>
      </w:r>
      <w:r w:rsidRPr="006A050D">
        <w:t xml:space="preserve"> </w:t>
      </w:r>
      <w:r w:rsidRPr="006A050D">
        <w:rPr>
          <w:lang w:val="vi-VN"/>
        </w:rPr>
        <w:t>Tổng hợp từ báo cáo của Thống kê tỉnh, thành phố trực thuộc trung ương</w:t>
      </w:r>
      <w:r w:rsidRPr="006A050D">
        <w:rPr>
          <w:lang w:val="en-GB"/>
        </w:rPr>
        <w:t>:</w:t>
      </w:r>
      <w:r w:rsidRPr="006A050D">
        <w:t xml:space="preserve"> Giá cá tra nguyên liệu tại </w:t>
      </w:r>
      <w:r w:rsidRPr="006A050D">
        <w:rPr>
          <w:lang w:val="en-US"/>
        </w:rPr>
        <w:t>Đồng bằng sông Cửu Long</w:t>
      </w:r>
      <w:r w:rsidRPr="006A050D">
        <w:t xml:space="preserve"> cỡ 0,8-1 kg dao động từ 29.500 - 31.000 đồng/kg , tăng khoảng 1.000 đồng/kg so với tháng trước và tăng 3.000 đồng/kg so với cùng kỳ năm trước</w:t>
      </w:r>
      <w:r w:rsidRPr="006A050D">
        <w:rPr>
          <w:lang w:val="vi-VN"/>
        </w:rPr>
        <w:t>.</w:t>
      </w:r>
      <w:r w:rsidRPr="006A050D">
        <w:rPr>
          <w:lang w:val="en-US"/>
        </w:rPr>
        <w:t xml:space="preserve"> </w:t>
      </w:r>
    </w:p>
  </w:footnote>
  <w:footnote w:id="8">
    <w:p w14:paraId="1D5E3BD1" w14:textId="77777777" w:rsidR="00EF7A8C" w:rsidRPr="006A050D" w:rsidRDefault="00EF7A8C" w:rsidP="006A050D">
      <w:pPr>
        <w:pStyle w:val="FootnoteText"/>
        <w:spacing w:after="40"/>
        <w:ind w:left="142" w:hanging="142"/>
        <w:jc w:val="both"/>
        <w:rPr>
          <w:lang w:val="vi-VN"/>
        </w:rPr>
      </w:pPr>
      <w:r w:rsidRPr="006A050D">
        <w:rPr>
          <w:rStyle w:val="FootnoteReference"/>
        </w:rPr>
        <w:footnoteRef/>
      </w:r>
      <w:r w:rsidRPr="006A050D">
        <w:t xml:space="preserve"> </w:t>
      </w:r>
      <w:r w:rsidRPr="006A050D">
        <w:rPr>
          <w:lang w:val="vi-VN"/>
        </w:rPr>
        <w:t xml:space="preserve">Chỉ số IIP tháng Mười Một năm 2024 so với cùng kỳ năm trước tăng 7,9%. </w:t>
      </w:r>
    </w:p>
  </w:footnote>
  <w:footnote w:id="9">
    <w:p w14:paraId="43298004" w14:textId="77777777" w:rsidR="00EF7A8C" w:rsidRPr="006A050D" w:rsidRDefault="00EF7A8C" w:rsidP="006A050D">
      <w:pPr>
        <w:pStyle w:val="FootnoteText"/>
        <w:spacing w:after="40"/>
        <w:ind w:left="142" w:hanging="142"/>
        <w:jc w:val="both"/>
        <w:rPr>
          <w:lang w:val="vi-VN"/>
        </w:rPr>
      </w:pPr>
      <w:r w:rsidRPr="006A050D">
        <w:rPr>
          <w:rStyle w:val="FootnoteReference"/>
        </w:rPr>
        <w:footnoteRef/>
      </w:r>
      <w:r w:rsidRPr="006A050D">
        <w:t xml:space="preserve"> </w:t>
      </w:r>
      <w:r w:rsidRPr="006A050D">
        <w:rPr>
          <w:spacing w:val="2"/>
        </w:rPr>
        <w:t>Tốc độ tăng</w:t>
      </w:r>
      <w:r w:rsidRPr="006A050D">
        <w:rPr>
          <w:spacing w:val="2"/>
          <w:lang w:val="vi-VN"/>
        </w:rPr>
        <w:t>/giảm</w:t>
      </w:r>
      <w:r w:rsidRPr="006A050D">
        <w:rPr>
          <w:spacing w:val="2"/>
        </w:rPr>
        <w:t xml:space="preserve"> chỉ số IIP tháng </w:t>
      </w:r>
      <w:r w:rsidRPr="006A050D">
        <w:rPr>
          <w:spacing w:val="2"/>
          <w:lang w:val="vi-VN"/>
        </w:rPr>
        <w:t xml:space="preserve">Mười Một </w:t>
      </w:r>
      <w:r w:rsidRPr="006A050D">
        <w:rPr>
          <w:spacing w:val="2"/>
        </w:rPr>
        <w:t xml:space="preserve">so với tháng trước của một số địa phương có quy mô công nghiệp lớn: </w:t>
      </w:r>
      <w:r w:rsidRPr="006A050D">
        <w:rPr>
          <w:spacing w:val="2"/>
          <w:lang w:val="vi-VN"/>
        </w:rPr>
        <w:t xml:space="preserve">Quảng Ninh tăng 13,2%; Vĩnh Long tăng 8,6%; Hải Phòng tăng 4,2%; Cần Thơ tăng 4,0%; Bắc Ninh tăng 2,6%; </w:t>
      </w:r>
      <w:r w:rsidRPr="006A050D">
        <w:rPr>
          <w:spacing w:val="8"/>
          <w:lang w:val="vi-VN"/>
        </w:rPr>
        <w:t>Thành phố Hồ Chí Minh</w:t>
      </w:r>
      <w:r w:rsidRPr="006A050D">
        <w:rPr>
          <w:spacing w:val="2"/>
          <w:lang w:val="vi-VN"/>
        </w:rPr>
        <w:t xml:space="preserve"> tăng 2,0%; Đồng Nai</w:t>
      </w:r>
      <w:r w:rsidRPr="006A050D">
        <w:rPr>
          <w:spacing w:val="2"/>
        </w:rPr>
        <w:t xml:space="preserve"> </w:t>
      </w:r>
      <w:r w:rsidRPr="006A050D">
        <w:rPr>
          <w:spacing w:val="2"/>
          <w:lang w:val="vi-VN"/>
        </w:rPr>
        <w:t xml:space="preserve">và Đà Nẵng cùng </w:t>
      </w:r>
      <w:r w:rsidRPr="006A050D">
        <w:rPr>
          <w:spacing w:val="2"/>
        </w:rPr>
        <w:t xml:space="preserve">tăng </w:t>
      </w:r>
      <w:r w:rsidRPr="006A050D">
        <w:rPr>
          <w:spacing w:val="2"/>
          <w:lang w:val="vi-VN"/>
        </w:rPr>
        <w:t>1,9</w:t>
      </w:r>
      <w:r w:rsidRPr="006A050D">
        <w:rPr>
          <w:spacing w:val="2"/>
        </w:rPr>
        <w:t>%</w:t>
      </w:r>
      <w:r w:rsidRPr="006A050D">
        <w:rPr>
          <w:spacing w:val="2"/>
          <w:lang w:val="vi-VN"/>
        </w:rPr>
        <w:t xml:space="preserve">; </w:t>
      </w:r>
      <w:r w:rsidRPr="006A050D">
        <w:rPr>
          <w:spacing w:val="8"/>
          <w:lang w:val="vi-VN"/>
        </w:rPr>
        <w:t xml:space="preserve">Quảng Ngãi giảm 6,6%. </w:t>
      </w:r>
    </w:p>
  </w:footnote>
  <w:footnote w:id="10">
    <w:p w14:paraId="2A20F10C" w14:textId="77777777" w:rsidR="00EF7A8C" w:rsidRPr="006A050D" w:rsidRDefault="00EF7A8C" w:rsidP="00C62BC1">
      <w:pPr>
        <w:spacing w:after="40"/>
        <w:ind w:left="198" w:hanging="198"/>
        <w:jc w:val="both"/>
        <w:rPr>
          <w:sz w:val="20"/>
          <w:szCs w:val="20"/>
          <w:lang w:val="vi-VN"/>
        </w:rPr>
      </w:pPr>
      <w:r w:rsidRPr="006A050D">
        <w:rPr>
          <w:rStyle w:val="FootnoteReference"/>
          <w:rFonts w:eastAsia="DengXian Light"/>
          <w:sz w:val="20"/>
          <w:szCs w:val="20"/>
        </w:rPr>
        <w:footnoteRef/>
      </w:r>
      <w:r w:rsidRPr="006A050D">
        <w:rPr>
          <w:color w:val="FF0000"/>
          <w:sz w:val="20"/>
          <w:szCs w:val="20"/>
          <w:lang w:val="vi-VN"/>
        </w:rPr>
        <w:t xml:space="preserve"> </w:t>
      </w:r>
      <w:r w:rsidRPr="006A050D">
        <w:rPr>
          <w:spacing w:val="3"/>
          <w:sz w:val="20"/>
          <w:szCs w:val="20"/>
          <w:shd w:val="clear" w:color="auto" w:fill="FFFFFF"/>
          <w:lang w:val="vi-VN"/>
        </w:rPr>
        <w:t>Địa phương có chỉ số sản xuất của ngành công nghiệp chế biến, chế tạo mười một tháng năm 2025 tăng cao so với cùng kỳ năm trước: Quảng Ninh tăng 33,8%; Phú Thọ tăng 28,8%; Ninh Bình tăng 23,4%; Thanh Hóa tăng 17,5%; Bắc Ninh và Hải Phòng cùng tăng 16,9%. Các địa phương có chỉ số sản xuất của ngành sản xuất và phân phối điện tăng cao: Huế tăng 32,0%; Nghệ An tăng 25,3%; Đồng Nai tăng 10,2%.</w:t>
      </w:r>
    </w:p>
  </w:footnote>
  <w:footnote w:id="11">
    <w:p w14:paraId="4CCC19CC" w14:textId="77777777" w:rsidR="00EF7A8C" w:rsidRPr="006A050D" w:rsidRDefault="00EF7A8C" w:rsidP="00C62BC1">
      <w:pPr>
        <w:spacing w:after="40"/>
        <w:ind w:left="198" w:hanging="198"/>
        <w:jc w:val="both"/>
        <w:rPr>
          <w:sz w:val="20"/>
          <w:szCs w:val="20"/>
          <w:lang w:val="vi-VN"/>
        </w:rPr>
      </w:pPr>
      <w:r w:rsidRPr="006A050D">
        <w:rPr>
          <w:rStyle w:val="FootnoteReference"/>
          <w:rFonts w:eastAsia="DengXian Light"/>
          <w:sz w:val="20"/>
          <w:szCs w:val="20"/>
        </w:rPr>
        <w:footnoteRef/>
      </w:r>
      <w:r w:rsidRPr="006A050D">
        <w:rPr>
          <w:sz w:val="20"/>
          <w:szCs w:val="20"/>
          <w:lang w:val="vi-VN"/>
        </w:rPr>
        <w:t xml:space="preserve"> Các địa phương có chỉ số sản xuất của ngành công nghiệp chế biến, chế tạo mười một tháng năm 2025 tăng thấp so với cùng kỳ năm trước: Hà Tĩnh tăng 5,1%; Lạng Sơn tăng 4,7%; Cao Bằng tăng 0,5%. Các địa phương có chỉ số của ngành sản xuất và phân phối điện mười một tháng năm 2025 tăng thấp hoặc giảm so với cùng kỳ năm trước: Khánh Hòa tăng 2,2%; Lâm Đồng tăng 1,6%; Thành phố Hồ Chí Minh giảm 29,7%. Địa phương có chỉ số sản xuất của ngành khai khoáng mười một tháng năm 2025 so với cùng kỳ năm trước giảm: Quảng Trị giảm 10,9%; Tuyên Quang giảm 4,8%; Thành Phố Hồ Chí Minh giảm 1,8%; Hà Nội giảm 1,7%.</w:t>
      </w:r>
    </w:p>
  </w:footnote>
  <w:footnote w:id="12">
    <w:p w14:paraId="474C366E" w14:textId="77777777" w:rsidR="0005300F" w:rsidRPr="006A050D" w:rsidRDefault="0005300F" w:rsidP="006A050D">
      <w:pPr>
        <w:pStyle w:val="FootnoteText"/>
        <w:spacing w:after="40"/>
        <w:ind w:left="198" w:hanging="198"/>
        <w:jc w:val="both"/>
        <w:rPr>
          <w:lang w:val="vi-VN"/>
        </w:rPr>
      </w:pPr>
      <w:r w:rsidRPr="006A050D">
        <w:rPr>
          <w:rStyle w:val="FootnoteReference"/>
        </w:rPr>
        <w:footnoteRef/>
      </w:r>
      <w:r w:rsidRPr="006A050D">
        <w:rPr>
          <w:lang w:val="vi-VN"/>
        </w:rPr>
        <w:t xml:space="preserve"> </w:t>
      </w:r>
      <w:r w:rsidRPr="006A050D">
        <w:rPr>
          <w:spacing w:val="-2"/>
          <w:lang w:val="vi-VN"/>
        </w:rPr>
        <w:t>Trong đó, số vốn đăng ký tăng thêm của các doanh nghiệp đang hoạt động trong mười một tháng năm 2025 đạt gần 3,9 triệu tỷ đồng (tăng 197,3% so với cùng kỳ năm 2024).</w:t>
      </w:r>
    </w:p>
  </w:footnote>
  <w:footnote w:id="13">
    <w:p w14:paraId="56336F1B" w14:textId="77777777" w:rsidR="00363493" w:rsidRPr="006A050D" w:rsidRDefault="00363493" w:rsidP="00C62BC1">
      <w:pPr>
        <w:pStyle w:val="FootnoteText"/>
        <w:spacing w:after="40"/>
        <w:ind w:left="198" w:hanging="198"/>
        <w:jc w:val="both"/>
        <w:rPr>
          <w:lang w:val="vi-VN"/>
        </w:rPr>
      </w:pPr>
      <w:r w:rsidRPr="006A050D">
        <w:rPr>
          <w:rStyle w:val="FootnoteReference"/>
        </w:rPr>
        <w:footnoteRef/>
      </w:r>
      <w:r w:rsidRPr="006A050D">
        <w:rPr>
          <w:lang w:val="vi-VN"/>
        </w:rPr>
        <w:t xml:space="preserve"> Theo báo cáo của Cục Đầu tư nước ngoài, Bộ Tài chính, nhận ngày 0</w:t>
      </w:r>
      <w:r w:rsidRPr="006A050D">
        <w:rPr>
          <w:lang w:val="en-US"/>
        </w:rPr>
        <w:t>3</w:t>
      </w:r>
      <w:r w:rsidRPr="006A050D">
        <w:rPr>
          <w:lang w:val="vi-VN"/>
        </w:rPr>
        <w:t>/1</w:t>
      </w:r>
      <w:r w:rsidRPr="006A050D">
        <w:rPr>
          <w:lang w:val="en-US"/>
        </w:rPr>
        <w:t>2</w:t>
      </w:r>
      <w:r w:rsidRPr="006A050D">
        <w:rPr>
          <w:lang w:val="vi-VN"/>
        </w:rPr>
        <w:t>/2025.</w:t>
      </w:r>
    </w:p>
  </w:footnote>
  <w:footnote w:id="14">
    <w:p w14:paraId="1D949E4D" w14:textId="3D042266" w:rsidR="00E17CFD" w:rsidRPr="006A050D" w:rsidRDefault="00E17CFD" w:rsidP="00C62BC1">
      <w:pPr>
        <w:pStyle w:val="FootnoteText"/>
        <w:spacing w:after="40"/>
        <w:ind w:left="198" w:hanging="198"/>
        <w:jc w:val="both"/>
        <w:rPr>
          <w:color w:val="FF0000"/>
          <w:lang w:val="vi-VN"/>
        </w:rPr>
      </w:pPr>
      <w:r w:rsidRPr="00C62BC1">
        <w:rPr>
          <w:rStyle w:val="FootnoteReference"/>
        </w:rPr>
        <w:footnoteRef/>
      </w:r>
      <w:r w:rsidRPr="00C62BC1">
        <w:rPr>
          <w:lang w:val="vi-VN"/>
        </w:rPr>
        <w:t xml:space="preserve"> </w:t>
      </w:r>
      <w:r w:rsidR="00232E0C" w:rsidRPr="00C62BC1">
        <w:rPr>
          <w:lang w:val="en-US"/>
        </w:rPr>
        <w:t xml:space="preserve">Số liệu nhận từ Vụ Ngân sách nhà nước - </w:t>
      </w:r>
      <w:r w:rsidRPr="00C62BC1">
        <w:rPr>
          <w:lang w:val="vi-VN"/>
        </w:rPr>
        <w:t>Bộ Tài chính</w:t>
      </w:r>
      <w:r w:rsidR="00232E0C" w:rsidRPr="00C62BC1">
        <w:rPr>
          <w:lang w:val="en-US"/>
        </w:rPr>
        <w:t xml:space="preserve"> ngày 30/11/2025</w:t>
      </w:r>
      <w:r w:rsidRPr="00C62BC1">
        <w:rPr>
          <w:lang w:val="vi-VN"/>
        </w:rPr>
        <w:t>.</w:t>
      </w:r>
    </w:p>
  </w:footnote>
  <w:footnote w:id="15">
    <w:p w14:paraId="6989A432" w14:textId="77777777" w:rsidR="00E17CFD" w:rsidRPr="006A050D" w:rsidRDefault="00E17CFD" w:rsidP="00C62BC1">
      <w:pPr>
        <w:pStyle w:val="FootnoteText"/>
        <w:spacing w:after="40"/>
        <w:ind w:left="198" w:hanging="198"/>
        <w:jc w:val="both"/>
        <w:rPr>
          <w:color w:val="FF0000"/>
          <w:lang w:val="vi-VN"/>
        </w:rPr>
      </w:pPr>
      <w:r w:rsidRPr="006A050D">
        <w:rPr>
          <w:rStyle w:val="FootnoteReference"/>
        </w:rPr>
        <w:footnoteRef/>
      </w:r>
      <w:r w:rsidRPr="006A050D">
        <w:t xml:space="preserve"> </w:t>
      </w:r>
      <w:r w:rsidRPr="006A050D">
        <w:rPr>
          <w:lang w:val="vi-VN"/>
        </w:rPr>
        <w:t>Nhờ chính sách tài khóa giảm, gia hạn thuế, phí, lệ phí và tiền thuê đất để hỗ trợ tháo gỡ khó khăn cho doanh nghiệp và người dân nhanh chóng vượt qua khó khăn, thích ứng linh hoạt, phục hồi, phát triển hoạt động sản xuất kinh doanh. Đồng thời, tập trung triển khai nhiệm vụ thu ngân sách, đẩy mạnh chuyển đổi số, ứng dụng công nghệ thông tin trong quản lý thuế.</w:t>
      </w:r>
    </w:p>
  </w:footnote>
  <w:footnote w:id="16">
    <w:p w14:paraId="606D0327" w14:textId="77777777" w:rsidR="00E17CFD" w:rsidRPr="006A050D" w:rsidRDefault="00E17CFD" w:rsidP="00C62BC1">
      <w:pPr>
        <w:pStyle w:val="FootnoteText"/>
        <w:spacing w:after="40"/>
        <w:ind w:left="198" w:hanging="198"/>
        <w:jc w:val="both"/>
        <w:rPr>
          <w:color w:val="FF0000"/>
          <w:lang w:val="vi-VN"/>
        </w:rPr>
      </w:pPr>
      <w:r w:rsidRPr="006A050D">
        <w:rPr>
          <w:rStyle w:val="FootnoteReference"/>
        </w:rPr>
        <w:footnoteRef/>
      </w:r>
      <w:r w:rsidRPr="006A050D">
        <w:t xml:space="preserve"> Nhờ m</w:t>
      </w:r>
      <w:r w:rsidRPr="006A050D">
        <w:rPr>
          <w:lang w:val="vi-VN"/>
        </w:rPr>
        <w:t>ột số khoản thu nội địa đạt khá như: Các khoản thu từ nhà, đất ước đạt 505,6 nghìn tỷ đồng, bằng 172,6% dự toán năm và tăng 108,1% so với cùng kỳ năm 2024 do thị trường bất động sản phục hồi tích cực, đầu tư công được đẩy mạnh, Công điện số 124/CĐ-TTg của Thủ tướng Chính phủ được triển khai quyết liệt. Thu hồi vốn, thu cổ tức, lợi nhuận, lợi nhuận sau thuế, chênh lệch thu chi của Ngân hàng Nhà nước Việt Nam ước đạt 145,7 nghìn tỷ đồng, bằng 127,1% dự toán năm và tăng 19,3% so với cùng kỳ năm 2024 nhờ phát sinh tăng số nộp ngân sách một số khoản cổ tức được chia.</w:t>
      </w:r>
    </w:p>
  </w:footnote>
  <w:footnote w:id="17">
    <w:p w14:paraId="511EEC13" w14:textId="77777777" w:rsidR="00E17CFD" w:rsidRPr="006A050D" w:rsidRDefault="00E17CFD" w:rsidP="00C62BC1">
      <w:pPr>
        <w:pStyle w:val="FootnoteText"/>
        <w:spacing w:after="40"/>
        <w:ind w:left="198" w:hanging="198"/>
        <w:jc w:val="both"/>
        <w:rPr>
          <w:color w:val="FF0000"/>
          <w:lang w:val="vi-VN"/>
        </w:rPr>
      </w:pPr>
      <w:r w:rsidRPr="006A050D">
        <w:rPr>
          <w:rStyle w:val="FootnoteReference"/>
        </w:rPr>
        <w:footnoteRef/>
      </w:r>
      <w:r w:rsidRPr="006A050D">
        <w:t xml:space="preserve"> </w:t>
      </w:r>
      <w:r w:rsidRPr="006A050D">
        <w:rPr>
          <w:lang w:val="vi-VN"/>
        </w:rPr>
        <w:t>Ngân sách trung ương đã chi từ dự phòng để thực hiện các nhiệm vụ quan trọng, cấp bách và hỗ trợ các địa phương thực hiện sắp xếp đơn vị hành chính, khắc phục hậu quả thiên tai, bão lũ.</w:t>
      </w:r>
    </w:p>
  </w:footnote>
  <w:footnote w:id="18">
    <w:p w14:paraId="2A5366E0" w14:textId="77777777" w:rsidR="00E17CFD" w:rsidRPr="006A050D" w:rsidRDefault="00E17CFD" w:rsidP="00C62BC1">
      <w:pPr>
        <w:pStyle w:val="FootnoteText"/>
        <w:spacing w:after="40"/>
        <w:ind w:left="198" w:hanging="198"/>
        <w:jc w:val="both"/>
        <w:rPr>
          <w:color w:val="FF0000"/>
          <w:lang w:val="vi-VN"/>
        </w:rPr>
      </w:pPr>
      <w:r w:rsidRPr="006A050D">
        <w:rPr>
          <w:rStyle w:val="FootnoteReference"/>
        </w:rPr>
        <w:footnoteRef/>
      </w:r>
      <w:r w:rsidRPr="006A050D">
        <w:t xml:space="preserve"> </w:t>
      </w:r>
      <w:r w:rsidRPr="006A050D">
        <w:rPr>
          <w:lang w:val="vi-VN"/>
        </w:rPr>
        <w:t>Nhờ triển khai đồng bộ các giải pháp để đẩy nhanh giải ngân vốn đầu tư công; rà soát phân bổ chi tiết kế hoạch vốn sát với tiến độ thực hiện.</w:t>
      </w:r>
    </w:p>
  </w:footnote>
  <w:footnote w:id="19">
    <w:p w14:paraId="1591CACA" w14:textId="77777777" w:rsidR="007F367F" w:rsidRPr="006A050D" w:rsidRDefault="007F367F" w:rsidP="00C62BC1">
      <w:pPr>
        <w:pStyle w:val="FootnoteText"/>
        <w:spacing w:after="40"/>
        <w:ind w:left="198" w:hanging="198"/>
        <w:jc w:val="both"/>
        <w:rPr>
          <w:lang w:val="en-IN"/>
        </w:rPr>
      </w:pPr>
      <w:r w:rsidRPr="006A050D">
        <w:rPr>
          <w:rStyle w:val="FootnoteReference"/>
        </w:rPr>
        <w:footnoteRef/>
      </w:r>
      <w:r w:rsidRPr="006A050D">
        <w:rPr>
          <w:lang w:val="vi-VN"/>
        </w:rPr>
        <w:t xml:space="preserve"> </w:t>
      </w:r>
      <w:r w:rsidRPr="006A050D">
        <w:rPr>
          <w:lang w:val="en-IN"/>
        </w:rPr>
        <w:t>K</w:t>
      </w:r>
      <w:r w:rsidRPr="006A050D">
        <w:rPr>
          <w:lang w:val="vi-VN"/>
        </w:rPr>
        <w:t>im ngạch xuất khẩu tính theo giá F.O.B và kim ngạch nhập khẩu tính theo giá C.I.F (bao gồm chi phí vận tải, bảo hiểm của hàng nhập khẩu).</w:t>
      </w:r>
    </w:p>
  </w:footnote>
  <w:footnote w:id="20">
    <w:p w14:paraId="151D5445" w14:textId="77777777" w:rsidR="007F367F" w:rsidRPr="00C62BC1" w:rsidRDefault="007F367F" w:rsidP="00C62BC1">
      <w:pPr>
        <w:spacing w:after="40"/>
        <w:ind w:left="198" w:hanging="198"/>
        <w:jc w:val="both"/>
        <w:rPr>
          <w:rFonts w:eastAsiaTheme="minorHAnsi"/>
          <w:sz w:val="20"/>
          <w:szCs w:val="20"/>
        </w:rPr>
      </w:pPr>
      <w:r w:rsidRPr="006A050D">
        <w:rPr>
          <w:rStyle w:val="FootnoteReference"/>
          <w:sz w:val="20"/>
          <w:szCs w:val="20"/>
        </w:rPr>
        <w:footnoteRef/>
      </w:r>
      <w:r w:rsidRPr="006A050D">
        <w:rPr>
          <w:spacing w:val="-2"/>
          <w:sz w:val="20"/>
          <w:szCs w:val="20"/>
        </w:rPr>
        <w:t xml:space="preserve"> Số liệu sơ bộ xuất khẩu, nhập khẩu hàng hóa tháng Mười Một do Cục Hải quan cung cấp ngày 03/12/2025.</w:t>
      </w:r>
    </w:p>
  </w:footnote>
  <w:footnote w:id="21">
    <w:p w14:paraId="213686FA" w14:textId="77777777" w:rsidR="007F367F" w:rsidRPr="00C62BC1" w:rsidRDefault="007F367F" w:rsidP="00C62BC1">
      <w:pPr>
        <w:pStyle w:val="FootnoteText"/>
        <w:spacing w:after="40"/>
        <w:ind w:left="198" w:hanging="198"/>
        <w:jc w:val="both"/>
        <w:rPr>
          <w:rFonts w:eastAsiaTheme="minorHAnsi"/>
          <w:bCs/>
        </w:rPr>
      </w:pPr>
      <w:r w:rsidRPr="006A050D">
        <w:rPr>
          <w:rStyle w:val="FootnoteReference"/>
        </w:rPr>
        <w:footnoteRef/>
      </w:r>
      <w:r w:rsidRPr="006A050D">
        <w:rPr>
          <w:lang w:val="vi-VN"/>
        </w:rPr>
        <w:t xml:space="preserve"> T</w:t>
      </w:r>
      <w:r w:rsidRPr="006A050D">
        <w:rPr>
          <w:bCs/>
          <w:color w:val="000000"/>
          <w:lang w:val="vi-VN"/>
        </w:rPr>
        <w:t>ổng kim ngạch xuất, nhập khẩu hàng hóa mười một tháng năm 2024 đạt 716,37 tỷ USD, tăng 15,5% so với cùng kỳ năm trước, trong đó xuất khẩu đạt 370,37 tỷ USD, tăng 14,6%; nhập khẩu đạt 345,99 tỷ USD, tăng 16,5%.</w:t>
      </w:r>
    </w:p>
  </w:footnote>
  <w:footnote w:id="22">
    <w:p w14:paraId="43E4E93B" w14:textId="77777777" w:rsidR="007F367F" w:rsidRPr="00C62BC1" w:rsidRDefault="007F367F" w:rsidP="00C62BC1">
      <w:pPr>
        <w:pStyle w:val="FootnoteText"/>
        <w:spacing w:after="40"/>
        <w:ind w:left="198" w:hanging="198"/>
        <w:jc w:val="both"/>
        <w:rPr>
          <w:rFonts w:eastAsiaTheme="minorHAnsi"/>
        </w:rPr>
      </w:pPr>
      <w:r w:rsidRPr="006A050D">
        <w:rPr>
          <w:rStyle w:val="FootnoteReference"/>
        </w:rPr>
        <w:footnoteRef/>
      </w:r>
      <w:r w:rsidRPr="006A050D">
        <w:t xml:space="preserve"> Không thay đổi</w:t>
      </w:r>
      <w:r w:rsidRPr="006A050D">
        <w:rPr>
          <w:bCs/>
          <w:lang w:val="de-DE"/>
        </w:rPr>
        <w:t xml:space="preserve"> so với số liệu Cục Hải quan gửi Cục Thống kê ngày 03/11/2025.</w:t>
      </w:r>
    </w:p>
  </w:footnote>
  <w:footnote w:id="23">
    <w:p w14:paraId="3FD4500E" w14:textId="77777777" w:rsidR="007F367F" w:rsidRPr="00C62BC1" w:rsidRDefault="007F367F" w:rsidP="00C62BC1">
      <w:pPr>
        <w:pStyle w:val="FootnoteText"/>
        <w:spacing w:after="40"/>
        <w:ind w:left="198" w:hanging="198"/>
        <w:jc w:val="both"/>
        <w:rPr>
          <w:rFonts w:eastAsiaTheme="minorHAnsi"/>
        </w:rPr>
      </w:pPr>
      <w:r w:rsidRPr="006A050D">
        <w:rPr>
          <w:rStyle w:val="FootnoteReference"/>
        </w:rPr>
        <w:footnoteRef/>
      </w:r>
      <w:r w:rsidRPr="006A050D">
        <w:t xml:space="preserve"> Không thay đổi</w:t>
      </w:r>
      <w:r w:rsidRPr="006A050D">
        <w:rPr>
          <w:bCs/>
          <w:lang w:val="de-DE"/>
        </w:rPr>
        <w:t xml:space="preserve"> so với số liệu Cục Hải quan gửi Cục Thống kê ngày 03/11/2025.</w:t>
      </w:r>
    </w:p>
  </w:footnote>
  <w:footnote w:id="24">
    <w:p w14:paraId="4F0FF7D6" w14:textId="77777777" w:rsidR="007F367F" w:rsidRPr="006A050D" w:rsidRDefault="007F367F" w:rsidP="00C62BC1">
      <w:pPr>
        <w:pStyle w:val="FootnoteText"/>
        <w:spacing w:after="40"/>
        <w:ind w:left="198" w:hanging="198"/>
        <w:jc w:val="both"/>
      </w:pPr>
      <w:r w:rsidRPr="006A050D">
        <w:rPr>
          <w:rStyle w:val="FootnoteReference"/>
        </w:rPr>
        <w:footnoteRef/>
      </w:r>
      <w:r w:rsidRPr="006A050D">
        <w:rPr>
          <w:lang w:val="vi-VN"/>
        </w:rPr>
        <w:t xml:space="preserve"> </w:t>
      </w:r>
      <w:r w:rsidRPr="006A050D">
        <w:t>Không thay đổi</w:t>
      </w:r>
      <w:r w:rsidRPr="006A050D">
        <w:rPr>
          <w:bCs/>
          <w:lang w:val="de-DE"/>
        </w:rPr>
        <w:t xml:space="preserve"> so với số liệu Cục Hải quan gửi Cục Thống kê ngày 03/11/2025</w:t>
      </w:r>
      <w:r w:rsidRPr="006A050D">
        <w:rPr>
          <w:lang w:val="vi-VN"/>
        </w:rPr>
        <w:t>.</w:t>
      </w:r>
    </w:p>
  </w:footnote>
  <w:footnote w:id="25">
    <w:p w14:paraId="6C7F9D92" w14:textId="77777777" w:rsidR="00EF7A8C" w:rsidRPr="006A050D" w:rsidRDefault="00EF7A8C" w:rsidP="00C62BC1">
      <w:pPr>
        <w:pStyle w:val="FootnoteText"/>
        <w:spacing w:after="40"/>
        <w:ind w:left="198" w:hanging="198"/>
        <w:jc w:val="both"/>
        <w:rPr>
          <w:lang w:val="en-US"/>
        </w:rPr>
      </w:pPr>
      <w:r w:rsidRPr="006A050D">
        <w:rPr>
          <w:rStyle w:val="FootnoteReference"/>
        </w:rPr>
        <w:footnoteRef/>
      </w:r>
      <w:r w:rsidRPr="006A050D">
        <w:t xml:space="preserve"> </w:t>
      </w:r>
      <w:r w:rsidRPr="006A050D">
        <w:rPr>
          <w:lang w:val="en-US"/>
        </w:rPr>
        <w:t>Chỉ số giá nhóm thực phẩm tháng Mười Một của Gia Lai tăng 3,72%; Đà Nẵng tăng 3,55%; Khánh Hòa tăng 3,31%; Quảng Ngãi tăng 2,78%; Lâm Đồng tăng 2,51%; Huế tăng 2,34%; Đắk Lắk tăng 2,03%; Đồng Nai tăng 1,36%, Quảng Trị tăng 1,13%.</w:t>
      </w:r>
    </w:p>
  </w:footnote>
  <w:footnote w:id="26">
    <w:p w14:paraId="76CCCA18" w14:textId="77777777" w:rsidR="00EF7A8C" w:rsidRPr="006A050D" w:rsidRDefault="00EF7A8C" w:rsidP="00C62BC1">
      <w:pPr>
        <w:pStyle w:val="FootnoteText"/>
        <w:spacing w:after="40"/>
        <w:ind w:left="198" w:hanging="198"/>
        <w:jc w:val="both"/>
        <w:rPr>
          <w:lang w:val="en-US"/>
        </w:rPr>
      </w:pPr>
      <w:r w:rsidRPr="006A050D">
        <w:rPr>
          <w:rStyle w:val="FootnoteReference"/>
        </w:rPr>
        <w:footnoteRef/>
      </w:r>
      <w:r w:rsidRPr="006A050D">
        <w:t xml:space="preserve"> Do chịu ảnh hưởng liên tiếp bởi các cơn bão và mưa lũ gây mưa lớn, ngập úng diện rộng ở nhiều địa phương làm thiệt hại nông sản, nguồn cung thực phẩm bị gián đoạn. Giá nhóm rau tươi, khô và chế biến tăng 12,71%</w:t>
      </w:r>
      <w:r w:rsidRPr="006A050D">
        <w:rPr>
          <w:lang w:val="en-US"/>
        </w:rPr>
        <w:t>; giá thủy sản chế biến tăng 0,45%; giá thủy sản tươi sống tăng 0,87%; giá thịt gia cầm tăng 0,28%; giá trứng các loại tăng 1,14%; chè, cà phê, ca cao tăng 0,22%; đường, mật tăng 0,05%; sữa, bơ, phô mai tăng 0,28%; đồ gia vị tăng 0,42%. Bên cạnh các mặt hàng tăng giá, một số mặt hàng thực phẩm có giá giảm: Giá thịt lợn giảm 0,42% do giá thức ăn chăn nuôi ổn định; giá nội tạng động vật giảm 0,25%; bánh, mứt, kẹo giảm 0,17%; sữa đậu nành, sữa ngô giảm 0,39%; bơ giảm 0,29%; sô-cô-la giảm 0,38%.</w:t>
      </w:r>
    </w:p>
  </w:footnote>
  <w:footnote w:id="27">
    <w:p w14:paraId="2971F5D4" w14:textId="77777777" w:rsidR="00EF7A8C" w:rsidRPr="006A050D" w:rsidRDefault="00EF7A8C" w:rsidP="00C62BC1">
      <w:pPr>
        <w:pStyle w:val="FootnoteText"/>
        <w:spacing w:after="40"/>
        <w:ind w:left="198" w:hanging="198"/>
        <w:jc w:val="both"/>
      </w:pPr>
      <w:r w:rsidRPr="006A050D">
        <w:rPr>
          <w:rStyle w:val="FootnoteReference"/>
        </w:rPr>
        <w:footnoteRef/>
      </w:r>
      <w:r w:rsidRPr="006A050D">
        <w:t xml:space="preserve"> Do giá nguyên liệu thực phẩm và dịch vụ tăng. Trong đó, giá ăn ngoài gia đình tăng 0,3</w:t>
      </w:r>
      <w:r w:rsidRPr="006A050D">
        <w:rPr>
          <w:lang w:val="en-US"/>
        </w:rPr>
        <w:t>0</w:t>
      </w:r>
      <w:r w:rsidRPr="006A050D">
        <w:t>%; uống ngoài gia đình tăng 0,37%; đồ ăn nhanh mang đi tăng 0,51%.</w:t>
      </w:r>
    </w:p>
  </w:footnote>
  <w:footnote w:id="28">
    <w:p w14:paraId="0DF58B7B" w14:textId="62A8813D" w:rsidR="00EF7A8C" w:rsidRPr="006A050D" w:rsidRDefault="00EF7A8C" w:rsidP="006A050D">
      <w:pPr>
        <w:pStyle w:val="FootnoteText"/>
        <w:spacing w:after="40"/>
        <w:ind w:left="198" w:hanging="198"/>
        <w:jc w:val="both"/>
      </w:pPr>
      <w:r w:rsidRPr="006A050D">
        <w:rPr>
          <w:rStyle w:val="FootnoteReference"/>
        </w:rPr>
        <w:footnoteRef/>
      </w:r>
      <w:r w:rsidRPr="006A050D">
        <w:t xml:space="preserve"> Giá gạo trong nước tăng theo giá gạo xuất khẩu do các thị trường lớn như châu Phi, Trung Quốc và Phi-li-pin đang tăng cường nhập khẩu gạo, theo đó, chỉ số giá nhóm gạo tăng 0,17</w:t>
      </w:r>
      <w:r w:rsidRPr="006A050D">
        <w:rPr>
          <w:lang w:val="en-US"/>
        </w:rPr>
        <w:t>% (Giá gạo tẻ thường tăng 0,15%, gạo tẻ ngon tăng 0,10%, gạo nếp tăng 0,72%, gạo lứt tẻ tăng 0,52%). Bên cạnh đó, một số mặt hàng lương thực tăng như: Giá ngô tăng 2,97%; khoai tăng 2,60%; sắn tăng 1,47%; miến tăng 0,49%; ngũ cốc ăn liền tăng 0,41%; bánh mỳ và bún, bánh phở, bánh đa cùng tăng 0,38%; mì sợi tăng 0,25%. Ở chiều ngược lại, chỉ số giá nhóm ngũ cốc khác giảm 0,33%; bột mỳ giảm 0,04%.</w:t>
      </w:r>
    </w:p>
  </w:footnote>
  <w:footnote w:id="29">
    <w:p w14:paraId="1FF49E50" w14:textId="77777777" w:rsidR="00EF7A8C" w:rsidRPr="006A050D" w:rsidRDefault="00EF7A8C" w:rsidP="00C62BC1">
      <w:pPr>
        <w:pStyle w:val="FootnoteText"/>
        <w:spacing w:after="40"/>
        <w:ind w:left="198" w:hanging="198"/>
        <w:jc w:val="both"/>
      </w:pPr>
      <w:r w:rsidRPr="006A050D">
        <w:rPr>
          <w:rStyle w:val="FootnoteReference"/>
        </w:rPr>
        <w:footnoteRef/>
      </w:r>
      <w:r w:rsidRPr="006A050D">
        <w:t xml:space="preserve"> Chỉ số giá điện, nước sinh hoạt tháng </w:t>
      </w:r>
      <w:r w:rsidRPr="006A050D">
        <w:rPr>
          <w:lang w:val="en-US"/>
        </w:rPr>
        <w:t>Mười Một</w:t>
      </w:r>
      <w:r w:rsidRPr="006A050D">
        <w:t xml:space="preserve"> phản ánh biến động trễ một tháng so với các mặt hàng khá</w:t>
      </w:r>
      <w:r w:rsidRPr="006A050D">
        <w:rPr>
          <w:lang w:val="vi-VN"/>
        </w:rPr>
        <w:t>c</w:t>
      </w:r>
      <w:r w:rsidRPr="006A050D">
        <w:t xml:space="preserve"> do được tính dựa trên doanh thu và sản lượng tiêu dùng của tháng </w:t>
      </w:r>
      <w:r w:rsidRPr="006A050D">
        <w:rPr>
          <w:lang w:val="en-US"/>
        </w:rPr>
        <w:t>Mười</w:t>
      </w:r>
      <w:r w:rsidRPr="006A050D">
        <w:t>.</w:t>
      </w:r>
    </w:p>
  </w:footnote>
  <w:footnote w:id="30">
    <w:p w14:paraId="066A387C" w14:textId="77777777" w:rsidR="00EF7A8C" w:rsidRPr="006A050D" w:rsidRDefault="00EF7A8C" w:rsidP="006A050D">
      <w:pPr>
        <w:pStyle w:val="FootnoteText"/>
        <w:spacing w:after="40"/>
        <w:ind w:left="198" w:hanging="198"/>
        <w:jc w:val="both"/>
        <w:rPr>
          <w:lang w:val="vi-VN"/>
        </w:rPr>
      </w:pPr>
      <w:r w:rsidRPr="006A050D">
        <w:rPr>
          <w:rStyle w:val="FootnoteReference"/>
        </w:rPr>
        <w:footnoteRef/>
      </w:r>
      <w:r w:rsidRPr="006A050D">
        <w:rPr>
          <w:lang w:val="vi-VN"/>
        </w:rPr>
        <w:t xml:space="preserve"> CPI sau khi loại trừ lương thực, thực phẩm tươi sống, năng lượng và mặt hàng do Nhà nước quản lý bao gồm dịch vụ y tế và giáo dục.</w:t>
      </w:r>
    </w:p>
  </w:footnote>
  <w:footnote w:id="31">
    <w:p w14:paraId="05244301" w14:textId="77777777" w:rsidR="00E17CFD" w:rsidRPr="006A050D" w:rsidRDefault="00E17CFD" w:rsidP="006A050D">
      <w:pPr>
        <w:pStyle w:val="FootnoteText"/>
        <w:spacing w:after="40"/>
        <w:ind w:left="198" w:hanging="198"/>
        <w:jc w:val="both"/>
        <w:rPr>
          <w:lang w:val="vi-VN"/>
        </w:rPr>
      </w:pPr>
      <w:r w:rsidRPr="006A050D">
        <w:rPr>
          <w:rStyle w:val="FootnoteReference"/>
        </w:rPr>
        <w:footnoteRef/>
      </w:r>
      <w:r w:rsidRPr="006A050D">
        <w:t xml:space="preserve"> </w:t>
      </w:r>
      <w:r w:rsidRPr="006A050D">
        <w:rPr>
          <w:spacing w:val="2"/>
          <w:lang w:val="vi-VN"/>
        </w:rPr>
        <w:t>Do bổ sung thêm sản lượng vận tải hành khách bằng đường sắt trên cao tại Hà Nội và Metro tại Thành phố Hồ Chí Minh</w:t>
      </w:r>
      <w:r w:rsidRPr="006A050D">
        <w:rPr>
          <w:lang w:val="vi-VN"/>
        </w:rPr>
        <w:t>.</w:t>
      </w:r>
    </w:p>
  </w:footnote>
  <w:footnote w:id="32">
    <w:p w14:paraId="5B2B3316" w14:textId="77777777" w:rsidR="00E17CFD" w:rsidRPr="006A050D" w:rsidRDefault="00E17CFD" w:rsidP="006A050D">
      <w:pPr>
        <w:tabs>
          <w:tab w:val="left" w:pos="426"/>
        </w:tabs>
        <w:spacing w:after="40"/>
        <w:ind w:left="198" w:hanging="198"/>
        <w:jc w:val="both"/>
        <w:rPr>
          <w:spacing w:val="-2"/>
          <w:sz w:val="20"/>
          <w:szCs w:val="20"/>
          <w:lang w:val="vi-VN"/>
        </w:rPr>
      </w:pPr>
      <w:r w:rsidRPr="006A050D">
        <w:rPr>
          <w:rStyle w:val="FootnoteReference"/>
          <w:sz w:val="20"/>
          <w:szCs w:val="20"/>
        </w:rPr>
        <w:footnoteRef/>
      </w:r>
      <w:r w:rsidRPr="006A050D">
        <w:rPr>
          <w:sz w:val="20"/>
          <w:szCs w:val="20"/>
          <w:lang w:val="vi-VN"/>
        </w:rPr>
        <w:t xml:space="preserve"> </w:t>
      </w:r>
      <w:r w:rsidRPr="006A050D">
        <w:rPr>
          <w:spacing w:val="2"/>
          <w:sz w:val="20"/>
          <w:szCs w:val="20"/>
          <w:lang w:val="vi-VN"/>
        </w:rPr>
        <w:t>Do thời tiết không thuận lợi nên lượng khách đi biển giảm</w:t>
      </w:r>
      <w:r w:rsidRPr="006A050D">
        <w:rPr>
          <w:color w:val="333333"/>
          <w:spacing w:val="2"/>
          <w:sz w:val="20"/>
          <w:szCs w:val="20"/>
          <w:shd w:val="clear" w:color="auto" w:fill="FFFFFF"/>
          <w:lang w:val="vi-VN"/>
        </w:rPr>
        <w:t xml:space="preserve">, </w:t>
      </w:r>
      <w:r w:rsidRPr="006A050D">
        <w:rPr>
          <w:spacing w:val="2"/>
          <w:sz w:val="20"/>
          <w:szCs w:val="20"/>
          <w:lang w:val="vi-VN"/>
        </w:rPr>
        <w:t>nhiều tuyến tàu phải tạm dừng hoặc giảm tần suất hoạt động.</w:t>
      </w:r>
      <w:r w:rsidRPr="006A050D">
        <w:rPr>
          <w:spacing w:val="-2"/>
          <w:sz w:val="20"/>
          <w:szCs w:val="20"/>
          <w:lang w:val="vi-VN"/>
        </w:rPr>
        <w:t xml:space="preserve"> </w:t>
      </w:r>
    </w:p>
  </w:footnote>
  <w:footnote w:id="33">
    <w:p w14:paraId="2353B5E6" w14:textId="77777777" w:rsidR="00E17CFD" w:rsidRPr="006A050D" w:rsidRDefault="00E17CFD" w:rsidP="006A050D">
      <w:pPr>
        <w:pStyle w:val="FootnoteText"/>
        <w:spacing w:after="40"/>
        <w:ind w:left="198" w:hanging="198"/>
        <w:jc w:val="both"/>
        <w:rPr>
          <w:lang w:val="vi-VN"/>
        </w:rPr>
      </w:pPr>
      <w:r w:rsidRPr="006A050D">
        <w:rPr>
          <w:rStyle w:val="FootnoteReference"/>
        </w:rPr>
        <w:footnoteRef/>
      </w:r>
      <w:r w:rsidRPr="006A050D">
        <w:rPr>
          <w:spacing w:val="2"/>
          <w:lang w:val="vi-VN"/>
        </w:rPr>
        <w:t xml:space="preserve"> Theo báo cáo của Cục cửa khẩu, Bộ Tư lệnh Bộ đội biên phòng, Bộ Quốc phòng và Cục Xuất nhập cảnh, </w:t>
      </w:r>
      <w:r w:rsidRPr="006A050D">
        <w:rPr>
          <w:spacing w:val="2"/>
          <w:lang w:val="vi-VN"/>
        </w:rPr>
        <w:br/>
        <w:t>Bộ Công an.</w:t>
      </w:r>
    </w:p>
  </w:footnote>
  <w:footnote w:id="34">
    <w:p w14:paraId="5D760967" w14:textId="77777777" w:rsidR="00E17CFD" w:rsidRPr="006A050D" w:rsidRDefault="00E17CFD" w:rsidP="006A050D">
      <w:pPr>
        <w:pStyle w:val="FootnoteText"/>
        <w:spacing w:after="40"/>
        <w:ind w:left="198" w:hanging="198"/>
        <w:jc w:val="both"/>
        <w:rPr>
          <w:lang w:val="vi-VN"/>
        </w:rPr>
      </w:pPr>
      <w:r w:rsidRPr="006A050D">
        <w:rPr>
          <w:rStyle w:val="FootnoteReference"/>
        </w:rPr>
        <w:footnoteRef/>
      </w:r>
      <w:r w:rsidRPr="006A050D">
        <w:rPr>
          <w:lang w:val="vi-VN"/>
        </w:rPr>
        <w:t xml:space="preserve"> Kỳ báo cáo từ ngày 26/10/2025-25/11/2025.</w:t>
      </w:r>
    </w:p>
  </w:footnote>
  <w:footnote w:id="35">
    <w:p w14:paraId="7C5CDAFE" w14:textId="77777777" w:rsidR="00EF7A8C" w:rsidRPr="006A050D" w:rsidRDefault="00EF7A8C" w:rsidP="006A050D">
      <w:pPr>
        <w:pStyle w:val="FootnoteText"/>
        <w:spacing w:after="40"/>
        <w:ind w:left="198" w:hanging="198"/>
        <w:jc w:val="both"/>
        <w:rPr>
          <w:lang w:val="vi-VN"/>
        </w:rPr>
      </w:pPr>
      <w:r w:rsidRPr="006A050D">
        <w:rPr>
          <w:rStyle w:val="FootnoteReference"/>
        </w:rPr>
        <w:footnoteRef/>
      </w:r>
      <w:r w:rsidRPr="006A050D">
        <w:t xml:space="preserve"> </w:t>
      </w:r>
      <w:r w:rsidRPr="006A050D">
        <w:rPr>
          <w:lang w:val="vi-VN"/>
        </w:rPr>
        <w:t>Một hộ dân cư có thể lựa chọn nhiều nguyên nhân làm giảm thu nhập.</w:t>
      </w:r>
    </w:p>
  </w:footnote>
  <w:footnote w:id="36">
    <w:p w14:paraId="114A3644" w14:textId="77777777" w:rsidR="00EF7A8C" w:rsidRPr="006A050D" w:rsidRDefault="00EF7A8C" w:rsidP="006A050D">
      <w:pPr>
        <w:pStyle w:val="FootnoteText"/>
        <w:spacing w:after="40"/>
        <w:ind w:left="198" w:hanging="198"/>
        <w:jc w:val="both"/>
      </w:pPr>
      <w:r w:rsidRPr="006A050D">
        <w:rPr>
          <w:rStyle w:val="FootnoteReference"/>
        </w:rPr>
        <w:footnoteRef/>
      </w:r>
      <w:r w:rsidRPr="006A050D">
        <w:t xml:space="preserve"> Theo báo cáo nhanh từ Văn phòng Bộ Công an và Cục Hàng hải </w:t>
      </w:r>
      <w:r w:rsidRPr="006A050D">
        <w:rPr>
          <w:lang w:val="vi-VN"/>
        </w:rPr>
        <w:t xml:space="preserve">và Đường thủy </w:t>
      </w:r>
      <w:r w:rsidRPr="006A050D">
        <w:t xml:space="preserve">Việt Nam (Bộ </w:t>
      </w:r>
      <w:r w:rsidRPr="006A050D">
        <w:rPr>
          <w:lang w:val="vi-VN"/>
        </w:rPr>
        <w:t>Xây dựng</w:t>
      </w:r>
      <w:r w:rsidRPr="006A050D">
        <w:t xml:space="preserve">) </w:t>
      </w:r>
      <w:r w:rsidRPr="006A050D">
        <w:rPr>
          <w:lang w:val="de-DE"/>
        </w:rPr>
        <w:t>ngày 28/</w:t>
      </w:r>
      <w:r w:rsidRPr="006A050D">
        <w:rPr>
          <w:lang w:val="vi-VN"/>
        </w:rPr>
        <w:t>11</w:t>
      </w:r>
      <w:r w:rsidRPr="006A050D">
        <w:rPr>
          <w:lang w:val="de-DE"/>
        </w:rPr>
        <w:t>/2025</w:t>
      </w:r>
      <w:r w:rsidRPr="006A050D">
        <w:t>.</w:t>
      </w:r>
    </w:p>
  </w:footnote>
  <w:footnote w:id="37">
    <w:p w14:paraId="0067647D" w14:textId="77777777" w:rsidR="00EF7A8C" w:rsidRPr="006A050D" w:rsidRDefault="00EF7A8C" w:rsidP="006A050D">
      <w:pPr>
        <w:pStyle w:val="FootnoteText"/>
        <w:spacing w:after="40"/>
        <w:ind w:left="198" w:hanging="198"/>
        <w:jc w:val="both"/>
        <w:rPr>
          <w:lang w:val="en-US"/>
        </w:rPr>
      </w:pPr>
      <w:r w:rsidRPr="006A050D">
        <w:rPr>
          <w:rStyle w:val="FootnoteReference"/>
        </w:rPr>
        <w:footnoteRef/>
      </w:r>
      <w:r w:rsidRPr="006A050D">
        <w:t xml:space="preserve"> </w:t>
      </w:r>
      <w:r w:rsidRPr="006A050D">
        <w:rPr>
          <w:lang w:val="en-US"/>
        </w:rPr>
        <w:t>T</w:t>
      </w:r>
      <w:r w:rsidRPr="006A050D">
        <w:rPr>
          <w:lang w:val="de-DE"/>
        </w:rPr>
        <w:t xml:space="preserve">heo báo cáo từ Sở Nông nghiệp và Môi trường, Công an tỉnh, thành phố trực thuộc trung ương được các </w:t>
      </w:r>
      <w:r w:rsidRPr="006A050D">
        <w:rPr>
          <w:lang w:val="de-DE"/>
        </w:rPr>
        <w:br/>
        <w:t>Thống kê tỉnh, thành phố tổng hợp.</w:t>
      </w:r>
    </w:p>
  </w:footnote>
  <w:footnote w:id="38">
    <w:p w14:paraId="1986C6EF" w14:textId="77777777" w:rsidR="00EF7A8C" w:rsidRPr="006A050D" w:rsidRDefault="00EF7A8C" w:rsidP="006A050D">
      <w:pPr>
        <w:pStyle w:val="FootnoteText"/>
        <w:spacing w:after="40"/>
        <w:ind w:left="198" w:hanging="198"/>
        <w:jc w:val="both"/>
      </w:pPr>
      <w:r w:rsidRPr="006A050D">
        <w:rPr>
          <w:rStyle w:val="FootnoteReference"/>
        </w:rPr>
        <w:footnoteRef/>
      </w:r>
      <w:r w:rsidRPr="006A050D">
        <w:t xml:space="preserve"> Theo báo cáo nhanh từ Bộ Công an ngày 23/</w:t>
      </w:r>
      <w:r w:rsidRPr="006A050D">
        <w:rPr>
          <w:lang w:val="en-US"/>
        </w:rPr>
        <w:t>11</w:t>
      </w:r>
      <w:r w:rsidRPr="006A050D">
        <w:t>/202</w:t>
      </w:r>
      <w:r w:rsidRPr="006A050D">
        <w:rPr>
          <w:lang w:val="en-US"/>
        </w:rPr>
        <w:t>5</w:t>
      </w:r>
      <w:r w:rsidRPr="006A050D">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6334082"/>
      <w:docPartObj>
        <w:docPartGallery w:val="Page Numbers (Top of Page)"/>
        <w:docPartUnique/>
      </w:docPartObj>
    </w:sdtPr>
    <w:sdtEndPr>
      <w:rPr>
        <w:noProof/>
      </w:rPr>
    </w:sdtEndPr>
    <w:sdtContent>
      <w:p w14:paraId="1DE310E9" w14:textId="17D38581" w:rsidR="00205F6E" w:rsidRDefault="00205F6E">
        <w:pPr>
          <w:pStyle w:val="Header"/>
          <w:jc w:val="center"/>
        </w:pPr>
        <w:r>
          <w:fldChar w:fldCharType="begin"/>
        </w:r>
        <w:r>
          <w:instrText xml:space="preserve"> PAGE   \* MERGEFORMAT </w:instrText>
        </w:r>
        <w:r>
          <w:fldChar w:fldCharType="separate"/>
        </w:r>
        <w:r w:rsidR="006B2130">
          <w:rPr>
            <w:noProof/>
          </w:rPr>
          <w:t>26</w:t>
        </w:r>
        <w:r>
          <w:rPr>
            <w:noProof/>
          </w:rPr>
          <w:fldChar w:fldCharType="end"/>
        </w:r>
      </w:p>
    </w:sdtContent>
  </w:sdt>
  <w:p w14:paraId="39289854" w14:textId="77777777" w:rsidR="00205F6E" w:rsidRDefault="00205F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43B2D"/>
    <w:multiLevelType w:val="hybridMultilevel"/>
    <w:tmpl w:val="45A2BB3C"/>
    <w:lvl w:ilvl="0" w:tplc="6AA8063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19315047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768"/>
    <w:rsid w:val="00000D47"/>
    <w:rsid w:val="00001FBB"/>
    <w:rsid w:val="00006881"/>
    <w:rsid w:val="000077A3"/>
    <w:rsid w:val="000121CD"/>
    <w:rsid w:val="000152D2"/>
    <w:rsid w:val="0001673B"/>
    <w:rsid w:val="00021D24"/>
    <w:rsid w:val="00024081"/>
    <w:rsid w:val="00030143"/>
    <w:rsid w:val="000369C9"/>
    <w:rsid w:val="00041809"/>
    <w:rsid w:val="00046FE1"/>
    <w:rsid w:val="0005300F"/>
    <w:rsid w:val="00053768"/>
    <w:rsid w:val="00065182"/>
    <w:rsid w:val="00077F57"/>
    <w:rsid w:val="000819C5"/>
    <w:rsid w:val="0008799D"/>
    <w:rsid w:val="0009370B"/>
    <w:rsid w:val="000A1904"/>
    <w:rsid w:val="000A3C90"/>
    <w:rsid w:val="000A4DD5"/>
    <w:rsid w:val="000A70AE"/>
    <w:rsid w:val="000A74BB"/>
    <w:rsid w:val="000B3545"/>
    <w:rsid w:val="000B380E"/>
    <w:rsid w:val="000B60EE"/>
    <w:rsid w:val="000B6125"/>
    <w:rsid w:val="000B6804"/>
    <w:rsid w:val="000C1635"/>
    <w:rsid w:val="000C36C3"/>
    <w:rsid w:val="000C3F60"/>
    <w:rsid w:val="000D02EA"/>
    <w:rsid w:val="000E13BE"/>
    <w:rsid w:val="000E2DAC"/>
    <w:rsid w:val="000E3814"/>
    <w:rsid w:val="000F2A82"/>
    <w:rsid w:val="000F4316"/>
    <w:rsid w:val="000F5C03"/>
    <w:rsid w:val="00110192"/>
    <w:rsid w:val="00115153"/>
    <w:rsid w:val="00115917"/>
    <w:rsid w:val="00115C03"/>
    <w:rsid w:val="0012442C"/>
    <w:rsid w:val="001430BA"/>
    <w:rsid w:val="00143375"/>
    <w:rsid w:val="00150724"/>
    <w:rsid w:val="00150C59"/>
    <w:rsid w:val="001567F3"/>
    <w:rsid w:val="00163059"/>
    <w:rsid w:val="00164CF6"/>
    <w:rsid w:val="0017160E"/>
    <w:rsid w:val="00172A13"/>
    <w:rsid w:val="001736C0"/>
    <w:rsid w:val="001930D3"/>
    <w:rsid w:val="00194482"/>
    <w:rsid w:val="001A28E9"/>
    <w:rsid w:val="001A2935"/>
    <w:rsid w:val="001B0CB3"/>
    <w:rsid w:val="001B7182"/>
    <w:rsid w:val="001C09FE"/>
    <w:rsid w:val="001D18E3"/>
    <w:rsid w:val="001D4086"/>
    <w:rsid w:val="001E419F"/>
    <w:rsid w:val="001E45D8"/>
    <w:rsid w:val="001E704B"/>
    <w:rsid w:val="001F02AF"/>
    <w:rsid w:val="001F753D"/>
    <w:rsid w:val="00205F6E"/>
    <w:rsid w:val="00213996"/>
    <w:rsid w:val="002173C3"/>
    <w:rsid w:val="002209FD"/>
    <w:rsid w:val="0022251B"/>
    <w:rsid w:val="00227754"/>
    <w:rsid w:val="00230689"/>
    <w:rsid w:val="00232E0C"/>
    <w:rsid w:val="00234456"/>
    <w:rsid w:val="00237569"/>
    <w:rsid w:val="00237DD5"/>
    <w:rsid w:val="00242185"/>
    <w:rsid w:val="00243438"/>
    <w:rsid w:val="002503FC"/>
    <w:rsid w:val="00254190"/>
    <w:rsid w:val="0026529B"/>
    <w:rsid w:val="00267E54"/>
    <w:rsid w:val="002703C2"/>
    <w:rsid w:val="002734A3"/>
    <w:rsid w:val="00273F0D"/>
    <w:rsid w:val="0028020A"/>
    <w:rsid w:val="0028043C"/>
    <w:rsid w:val="00290615"/>
    <w:rsid w:val="00292CE1"/>
    <w:rsid w:val="00293C6B"/>
    <w:rsid w:val="002976A5"/>
    <w:rsid w:val="002A1B24"/>
    <w:rsid w:val="002A26C8"/>
    <w:rsid w:val="002A59FD"/>
    <w:rsid w:val="002A7012"/>
    <w:rsid w:val="002C3382"/>
    <w:rsid w:val="002E61CD"/>
    <w:rsid w:val="002F0924"/>
    <w:rsid w:val="002F1D7A"/>
    <w:rsid w:val="002F518D"/>
    <w:rsid w:val="00306C05"/>
    <w:rsid w:val="00310A59"/>
    <w:rsid w:val="00315444"/>
    <w:rsid w:val="00322F72"/>
    <w:rsid w:val="00325042"/>
    <w:rsid w:val="00334D3E"/>
    <w:rsid w:val="00336FB1"/>
    <w:rsid w:val="00337366"/>
    <w:rsid w:val="003416E5"/>
    <w:rsid w:val="0034650B"/>
    <w:rsid w:val="00356520"/>
    <w:rsid w:val="00362C4F"/>
    <w:rsid w:val="00363493"/>
    <w:rsid w:val="00364A78"/>
    <w:rsid w:val="00366E7C"/>
    <w:rsid w:val="0037466C"/>
    <w:rsid w:val="0038501F"/>
    <w:rsid w:val="00393919"/>
    <w:rsid w:val="00395A52"/>
    <w:rsid w:val="003A0702"/>
    <w:rsid w:val="003A2A2E"/>
    <w:rsid w:val="003A6049"/>
    <w:rsid w:val="003A6C0C"/>
    <w:rsid w:val="003B30C5"/>
    <w:rsid w:val="003B5FE3"/>
    <w:rsid w:val="003C1366"/>
    <w:rsid w:val="003C1F72"/>
    <w:rsid w:val="003C27A0"/>
    <w:rsid w:val="003C6758"/>
    <w:rsid w:val="003D5A95"/>
    <w:rsid w:val="003D7EB5"/>
    <w:rsid w:val="003E05C9"/>
    <w:rsid w:val="003E2EA9"/>
    <w:rsid w:val="003E3B7F"/>
    <w:rsid w:val="003F1C14"/>
    <w:rsid w:val="003F243D"/>
    <w:rsid w:val="003F27DD"/>
    <w:rsid w:val="0040324F"/>
    <w:rsid w:val="0041084F"/>
    <w:rsid w:val="004124CB"/>
    <w:rsid w:val="004137C2"/>
    <w:rsid w:val="004442D5"/>
    <w:rsid w:val="004449AC"/>
    <w:rsid w:val="0044549D"/>
    <w:rsid w:val="0044652B"/>
    <w:rsid w:val="00446E14"/>
    <w:rsid w:val="00451302"/>
    <w:rsid w:val="004568D5"/>
    <w:rsid w:val="004606A9"/>
    <w:rsid w:val="00460807"/>
    <w:rsid w:val="00463535"/>
    <w:rsid w:val="00474340"/>
    <w:rsid w:val="00474786"/>
    <w:rsid w:val="004778A6"/>
    <w:rsid w:val="004865B8"/>
    <w:rsid w:val="00487CC0"/>
    <w:rsid w:val="00487D5A"/>
    <w:rsid w:val="00492FE2"/>
    <w:rsid w:val="00496C77"/>
    <w:rsid w:val="00497F6C"/>
    <w:rsid w:val="004A00F8"/>
    <w:rsid w:val="004A1C28"/>
    <w:rsid w:val="004A62A5"/>
    <w:rsid w:val="004C502C"/>
    <w:rsid w:val="004D3AFC"/>
    <w:rsid w:val="004E5EA8"/>
    <w:rsid w:val="004F77BE"/>
    <w:rsid w:val="00500734"/>
    <w:rsid w:val="00506A65"/>
    <w:rsid w:val="00510DFB"/>
    <w:rsid w:val="00516F94"/>
    <w:rsid w:val="00523D4D"/>
    <w:rsid w:val="00523D54"/>
    <w:rsid w:val="00524873"/>
    <w:rsid w:val="005303FE"/>
    <w:rsid w:val="005373D4"/>
    <w:rsid w:val="0054488F"/>
    <w:rsid w:val="00545CB2"/>
    <w:rsid w:val="00547852"/>
    <w:rsid w:val="00547B59"/>
    <w:rsid w:val="005521E7"/>
    <w:rsid w:val="005522CC"/>
    <w:rsid w:val="00552563"/>
    <w:rsid w:val="00554CB7"/>
    <w:rsid w:val="00567AEE"/>
    <w:rsid w:val="00570826"/>
    <w:rsid w:val="005720B5"/>
    <w:rsid w:val="00586EE5"/>
    <w:rsid w:val="0059033E"/>
    <w:rsid w:val="0059213B"/>
    <w:rsid w:val="00594B17"/>
    <w:rsid w:val="005952D3"/>
    <w:rsid w:val="00597C48"/>
    <w:rsid w:val="005A1B70"/>
    <w:rsid w:val="005B28DD"/>
    <w:rsid w:val="005C1B20"/>
    <w:rsid w:val="005C64EF"/>
    <w:rsid w:val="005D5124"/>
    <w:rsid w:val="005E06B2"/>
    <w:rsid w:val="005E6CD6"/>
    <w:rsid w:val="005E741F"/>
    <w:rsid w:val="005F03B9"/>
    <w:rsid w:val="00602005"/>
    <w:rsid w:val="00602DC6"/>
    <w:rsid w:val="0060421C"/>
    <w:rsid w:val="00604D79"/>
    <w:rsid w:val="00610205"/>
    <w:rsid w:val="0061193D"/>
    <w:rsid w:val="0061627F"/>
    <w:rsid w:val="00616B53"/>
    <w:rsid w:val="00627009"/>
    <w:rsid w:val="00636053"/>
    <w:rsid w:val="00636F24"/>
    <w:rsid w:val="006377D0"/>
    <w:rsid w:val="00641365"/>
    <w:rsid w:val="00646268"/>
    <w:rsid w:val="00646990"/>
    <w:rsid w:val="00652EDE"/>
    <w:rsid w:val="00660BB2"/>
    <w:rsid w:val="006639B2"/>
    <w:rsid w:val="0068012E"/>
    <w:rsid w:val="006851E4"/>
    <w:rsid w:val="006927A0"/>
    <w:rsid w:val="006A050D"/>
    <w:rsid w:val="006A3961"/>
    <w:rsid w:val="006A629C"/>
    <w:rsid w:val="006A6B4B"/>
    <w:rsid w:val="006B1136"/>
    <w:rsid w:val="006B2130"/>
    <w:rsid w:val="006C0A6E"/>
    <w:rsid w:val="006C151C"/>
    <w:rsid w:val="006C2640"/>
    <w:rsid w:val="006D01CD"/>
    <w:rsid w:val="006D3476"/>
    <w:rsid w:val="006D3AD1"/>
    <w:rsid w:val="006D6E1A"/>
    <w:rsid w:val="006E70F3"/>
    <w:rsid w:val="006F1E1C"/>
    <w:rsid w:val="006F4A6A"/>
    <w:rsid w:val="00704CD6"/>
    <w:rsid w:val="00714FAE"/>
    <w:rsid w:val="007157C0"/>
    <w:rsid w:val="0073107F"/>
    <w:rsid w:val="007344E2"/>
    <w:rsid w:val="007438AE"/>
    <w:rsid w:val="00744A8E"/>
    <w:rsid w:val="00745299"/>
    <w:rsid w:val="00745FB2"/>
    <w:rsid w:val="00750D2B"/>
    <w:rsid w:val="00750D6C"/>
    <w:rsid w:val="00751D7D"/>
    <w:rsid w:val="00754D51"/>
    <w:rsid w:val="0075695E"/>
    <w:rsid w:val="00764977"/>
    <w:rsid w:val="007669D5"/>
    <w:rsid w:val="00775C2D"/>
    <w:rsid w:val="00782DA1"/>
    <w:rsid w:val="00791EB6"/>
    <w:rsid w:val="00796815"/>
    <w:rsid w:val="007A07B6"/>
    <w:rsid w:val="007A1442"/>
    <w:rsid w:val="007A2956"/>
    <w:rsid w:val="007A3E82"/>
    <w:rsid w:val="007C6383"/>
    <w:rsid w:val="007D0954"/>
    <w:rsid w:val="007D7001"/>
    <w:rsid w:val="007D7DF6"/>
    <w:rsid w:val="007D7F5F"/>
    <w:rsid w:val="007E11F1"/>
    <w:rsid w:val="007E7165"/>
    <w:rsid w:val="007F367F"/>
    <w:rsid w:val="007F618F"/>
    <w:rsid w:val="008024EB"/>
    <w:rsid w:val="0080366F"/>
    <w:rsid w:val="00804006"/>
    <w:rsid w:val="0080578A"/>
    <w:rsid w:val="00827C63"/>
    <w:rsid w:val="008357AA"/>
    <w:rsid w:val="00840424"/>
    <w:rsid w:val="00842592"/>
    <w:rsid w:val="00844161"/>
    <w:rsid w:val="008524CA"/>
    <w:rsid w:val="00863116"/>
    <w:rsid w:val="00863C02"/>
    <w:rsid w:val="00872E9A"/>
    <w:rsid w:val="008854E5"/>
    <w:rsid w:val="00887048"/>
    <w:rsid w:val="00896A26"/>
    <w:rsid w:val="00896F1C"/>
    <w:rsid w:val="008A781F"/>
    <w:rsid w:val="008B2576"/>
    <w:rsid w:val="008B46EF"/>
    <w:rsid w:val="008B5944"/>
    <w:rsid w:val="008C2493"/>
    <w:rsid w:val="008C7F67"/>
    <w:rsid w:val="008D254F"/>
    <w:rsid w:val="008D724C"/>
    <w:rsid w:val="008E3B41"/>
    <w:rsid w:val="008E3EB5"/>
    <w:rsid w:val="008E5BC8"/>
    <w:rsid w:val="008E7575"/>
    <w:rsid w:val="00900A3C"/>
    <w:rsid w:val="00904E4F"/>
    <w:rsid w:val="0090544C"/>
    <w:rsid w:val="00910C0B"/>
    <w:rsid w:val="0091355E"/>
    <w:rsid w:val="00924B7C"/>
    <w:rsid w:val="0093386E"/>
    <w:rsid w:val="00943417"/>
    <w:rsid w:val="00944959"/>
    <w:rsid w:val="00950C12"/>
    <w:rsid w:val="00951742"/>
    <w:rsid w:val="00954751"/>
    <w:rsid w:val="009706F6"/>
    <w:rsid w:val="00970ECF"/>
    <w:rsid w:val="009727E2"/>
    <w:rsid w:val="00975987"/>
    <w:rsid w:val="009800EF"/>
    <w:rsid w:val="009808FB"/>
    <w:rsid w:val="0098739D"/>
    <w:rsid w:val="0098790F"/>
    <w:rsid w:val="00987AF4"/>
    <w:rsid w:val="00987FCB"/>
    <w:rsid w:val="00990378"/>
    <w:rsid w:val="00995382"/>
    <w:rsid w:val="00996744"/>
    <w:rsid w:val="009B43EB"/>
    <w:rsid w:val="009B5DF5"/>
    <w:rsid w:val="009B7579"/>
    <w:rsid w:val="009D0D70"/>
    <w:rsid w:val="009D1981"/>
    <w:rsid w:val="009D5B4B"/>
    <w:rsid w:val="009D7B71"/>
    <w:rsid w:val="009E1408"/>
    <w:rsid w:val="009E6614"/>
    <w:rsid w:val="009F0173"/>
    <w:rsid w:val="009F1DD5"/>
    <w:rsid w:val="009F4512"/>
    <w:rsid w:val="009F58B2"/>
    <w:rsid w:val="009F7268"/>
    <w:rsid w:val="00A1441B"/>
    <w:rsid w:val="00A14C64"/>
    <w:rsid w:val="00A20310"/>
    <w:rsid w:val="00A2135E"/>
    <w:rsid w:val="00A24A05"/>
    <w:rsid w:val="00A43A87"/>
    <w:rsid w:val="00A43F1F"/>
    <w:rsid w:val="00A50685"/>
    <w:rsid w:val="00A51547"/>
    <w:rsid w:val="00A53644"/>
    <w:rsid w:val="00A54EF1"/>
    <w:rsid w:val="00A6046E"/>
    <w:rsid w:val="00A636A3"/>
    <w:rsid w:val="00A64E0C"/>
    <w:rsid w:val="00A71953"/>
    <w:rsid w:val="00A75C8B"/>
    <w:rsid w:val="00A76E9E"/>
    <w:rsid w:val="00A815B4"/>
    <w:rsid w:val="00A86FDD"/>
    <w:rsid w:val="00A87A96"/>
    <w:rsid w:val="00A9012A"/>
    <w:rsid w:val="00A91B58"/>
    <w:rsid w:val="00A93031"/>
    <w:rsid w:val="00A94DA6"/>
    <w:rsid w:val="00A96923"/>
    <w:rsid w:val="00AA1D9D"/>
    <w:rsid w:val="00AA4CBA"/>
    <w:rsid w:val="00AB60D7"/>
    <w:rsid w:val="00AB7A18"/>
    <w:rsid w:val="00AC2200"/>
    <w:rsid w:val="00AC3C91"/>
    <w:rsid w:val="00AC613B"/>
    <w:rsid w:val="00AD2CD8"/>
    <w:rsid w:val="00AD63F3"/>
    <w:rsid w:val="00AD7E36"/>
    <w:rsid w:val="00AE05A0"/>
    <w:rsid w:val="00AE1773"/>
    <w:rsid w:val="00AE2668"/>
    <w:rsid w:val="00AE3AA4"/>
    <w:rsid w:val="00AE4A0A"/>
    <w:rsid w:val="00AE743C"/>
    <w:rsid w:val="00AF623D"/>
    <w:rsid w:val="00AF7CC6"/>
    <w:rsid w:val="00B062DA"/>
    <w:rsid w:val="00B106E2"/>
    <w:rsid w:val="00B21DD2"/>
    <w:rsid w:val="00B23703"/>
    <w:rsid w:val="00B27A2E"/>
    <w:rsid w:val="00B361A4"/>
    <w:rsid w:val="00B51472"/>
    <w:rsid w:val="00B67FE5"/>
    <w:rsid w:val="00B77C39"/>
    <w:rsid w:val="00B82106"/>
    <w:rsid w:val="00B93AF6"/>
    <w:rsid w:val="00BA6DFA"/>
    <w:rsid w:val="00BB1D65"/>
    <w:rsid w:val="00BB37F6"/>
    <w:rsid w:val="00BC125D"/>
    <w:rsid w:val="00BC465A"/>
    <w:rsid w:val="00BC5F3B"/>
    <w:rsid w:val="00BD0564"/>
    <w:rsid w:val="00BD4442"/>
    <w:rsid w:val="00BD5E18"/>
    <w:rsid w:val="00BD64F8"/>
    <w:rsid w:val="00BE3F0E"/>
    <w:rsid w:val="00BE5150"/>
    <w:rsid w:val="00BE6C1D"/>
    <w:rsid w:val="00BF449C"/>
    <w:rsid w:val="00BF5172"/>
    <w:rsid w:val="00BF5E15"/>
    <w:rsid w:val="00BF6E54"/>
    <w:rsid w:val="00C05051"/>
    <w:rsid w:val="00C212BF"/>
    <w:rsid w:val="00C25A07"/>
    <w:rsid w:val="00C357CC"/>
    <w:rsid w:val="00C359C3"/>
    <w:rsid w:val="00C444FE"/>
    <w:rsid w:val="00C459FE"/>
    <w:rsid w:val="00C462EE"/>
    <w:rsid w:val="00C47294"/>
    <w:rsid w:val="00C50C0E"/>
    <w:rsid w:val="00C50DE2"/>
    <w:rsid w:val="00C53575"/>
    <w:rsid w:val="00C547CA"/>
    <w:rsid w:val="00C600D3"/>
    <w:rsid w:val="00C62BC1"/>
    <w:rsid w:val="00C67D4D"/>
    <w:rsid w:val="00C71D23"/>
    <w:rsid w:val="00C7603D"/>
    <w:rsid w:val="00C824C1"/>
    <w:rsid w:val="00C84FB4"/>
    <w:rsid w:val="00C87DEE"/>
    <w:rsid w:val="00C9043C"/>
    <w:rsid w:val="00C90B0D"/>
    <w:rsid w:val="00C918A8"/>
    <w:rsid w:val="00C93637"/>
    <w:rsid w:val="00C94A41"/>
    <w:rsid w:val="00C97E1B"/>
    <w:rsid w:val="00CA1C11"/>
    <w:rsid w:val="00CA2F59"/>
    <w:rsid w:val="00CA6605"/>
    <w:rsid w:val="00CA6784"/>
    <w:rsid w:val="00CB3816"/>
    <w:rsid w:val="00CB654F"/>
    <w:rsid w:val="00CB7CEE"/>
    <w:rsid w:val="00CC0C87"/>
    <w:rsid w:val="00CC115D"/>
    <w:rsid w:val="00CC1BD7"/>
    <w:rsid w:val="00CC4DB2"/>
    <w:rsid w:val="00CC654E"/>
    <w:rsid w:val="00CD3D07"/>
    <w:rsid w:val="00CE0612"/>
    <w:rsid w:val="00CE3DD6"/>
    <w:rsid w:val="00CF1092"/>
    <w:rsid w:val="00D0358D"/>
    <w:rsid w:val="00D03E79"/>
    <w:rsid w:val="00D046EB"/>
    <w:rsid w:val="00D12536"/>
    <w:rsid w:val="00D13E7A"/>
    <w:rsid w:val="00D206AF"/>
    <w:rsid w:val="00D20D50"/>
    <w:rsid w:val="00D217B2"/>
    <w:rsid w:val="00D313CF"/>
    <w:rsid w:val="00D32974"/>
    <w:rsid w:val="00D32A32"/>
    <w:rsid w:val="00D32F05"/>
    <w:rsid w:val="00D36B96"/>
    <w:rsid w:val="00D6457E"/>
    <w:rsid w:val="00D67928"/>
    <w:rsid w:val="00D7570C"/>
    <w:rsid w:val="00D8287C"/>
    <w:rsid w:val="00D82D26"/>
    <w:rsid w:val="00D92D14"/>
    <w:rsid w:val="00D97BF4"/>
    <w:rsid w:val="00DB594E"/>
    <w:rsid w:val="00DC0F95"/>
    <w:rsid w:val="00DC390A"/>
    <w:rsid w:val="00DC40E3"/>
    <w:rsid w:val="00DC4E14"/>
    <w:rsid w:val="00DC7295"/>
    <w:rsid w:val="00DD003E"/>
    <w:rsid w:val="00DD6C35"/>
    <w:rsid w:val="00DE070D"/>
    <w:rsid w:val="00DF3BE2"/>
    <w:rsid w:val="00DF7422"/>
    <w:rsid w:val="00E04816"/>
    <w:rsid w:val="00E075BF"/>
    <w:rsid w:val="00E10D8A"/>
    <w:rsid w:val="00E11C99"/>
    <w:rsid w:val="00E14153"/>
    <w:rsid w:val="00E17CFD"/>
    <w:rsid w:val="00E215C1"/>
    <w:rsid w:val="00E26115"/>
    <w:rsid w:val="00E30701"/>
    <w:rsid w:val="00E30E62"/>
    <w:rsid w:val="00E3732B"/>
    <w:rsid w:val="00E528DA"/>
    <w:rsid w:val="00E60EC2"/>
    <w:rsid w:val="00E60FE7"/>
    <w:rsid w:val="00E66B8C"/>
    <w:rsid w:val="00E77052"/>
    <w:rsid w:val="00E80885"/>
    <w:rsid w:val="00E90DA9"/>
    <w:rsid w:val="00E9463A"/>
    <w:rsid w:val="00EA1546"/>
    <w:rsid w:val="00EA29E9"/>
    <w:rsid w:val="00EA3B11"/>
    <w:rsid w:val="00EC0D81"/>
    <w:rsid w:val="00EC1DB1"/>
    <w:rsid w:val="00ED2D17"/>
    <w:rsid w:val="00ED5502"/>
    <w:rsid w:val="00EE0213"/>
    <w:rsid w:val="00EE1BAA"/>
    <w:rsid w:val="00EE23A0"/>
    <w:rsid w:val="00EF01E6"/>
    <w:rsid w:val="00EF381D"/>
    <w:rsid w:val="00EF5A46"/>
    <w:rsid w:val="00EF64B7"/>
    <w:rsid w:val="00EF7A8C"/>
    <w:rsid w:val="00F004B8"/>
    <w:rsid w:val="00F010B5"/>
    <w:rsid w:val="00F05F82"/>
    <w:rsid w:val="00F06679"/>
    <w:rsid w:val="00F07FEA"/>
    <w:rsid w:val="00F14F1B"/>
    <w:rsid w:val="00F1521A"/>
    <w:rsid w:val="00F1640C"/>
    <w:rsid w:val="00F27202"/>
    <w:rsid w:val="00F344F5"/>
    <w:rsid w:val="00F36A05"/>
    <w:rsid w:val="00F410E3"/>
    <w:rsid w:val="00F41C4B"/>
    <w:rsid w:val="00F4248B"/>
    <w:rsid w:val="00F562A4"/>
    <w:rsid w:val="00F572C3"/>
    <w:rsid w:val="00F578DC"/>
    <w:rsid w:val="00F606BE"/>
    <w:rsid w:val="00F649BD"/>
    <w:rsid w:val="00F64AB4"/>
    <w:rsid w:val="00F7671F"/>
    <w:rsid w:val="00F80636"/>
    <w:rsid w:val="00F82A99"/>
    <w:rsid w:val="00F878EE"/>
    <w:rsid w:val="00F9101B"/>
    <w:rsid w:val="00F93032"/>
    <w:rsid w:val="00F937DE"/>
    <w:rsid w:val="00F93C5A"/>
    <w:rsid w:val="00F95134"/>
    <w:rsid w:val="00F97B26"/>
    <w:rsid w:val="00FA1999"/>
    <w:rsid w:val="00FA5F38"/>
    <w:rsid w:val="00FC0A3A"/>
    <w:rsid w:val="00FC44A7"/>
    <w:rsid w:val="00FC6362"/>
    <w:rsid w:val="00FD03BB"/>
    <w:rsid w:val="00FD1239"/>
    <w:rsid w:val="00FE2CBF"/>
    <w:rsid w:val="00FE6FC8"/>
    <w:rsid w:val="00FF36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0B077"/>
  <w15:chartTrackingRefBased/>
  <w15:docId w15:val="{D6FA9F95-A63C-4DFC-BAA5-9F4CDCC18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768"/>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053768"/>
    <w:rPr>
      <w:rFonts w:eastAsia="Calibri"/>
      <w:sz w:val="20"/>
      <w:szCs w:val="20"/>
      <w:lang w:val="x-none" w:eastAsia="x-none"/>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rsid w:val="00053768"/>
    <w:rPr>
      <w:rFonts w:ascii="Times New Roman" w:eastAsia="Calibri" w:hAnsi="Times New Roman" w:cs="Times New Roman"/>
      <w:sz w:val="20"/>
      <w:szCs w:val="20"/>
      <w:lang w:val="x-none" w:eastAsia="x-none"/>
    </w:rPr>
  </w:style>
  <w:style w:type="character" w:styleId="FootnoteReference">
    <w:name w:val="footnote reference"/>
    <w:aliases w:val="Footnote,Footnote text,ftref,BVI fnr,BearingPoint,16 Point,Superscript 6 Point,fr,(NECG) Footnote Reference,Footnote + Arial,10 pt,Black,Footnote Text1,f,R,Footnote Text Char Char Char Char Char Char Ch Char Char Char Char Char Char C"/>
    <w:link w:val="CharChar1CharCharCharChar1CharCharCharCharCharCharCharChar"/>
    <w:uiPriority w:val="99"/>
    <w:qFormat/>
    <w:rsid w:val="00053768"/>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053768"/>
    <w:pPr>
      <w:spacing w:before="100" w:beforeAutospacing="1" w:after="100" w:afterAutospacing="1"/>
    </w:pPr>
    <w:rPr>
      <w:rFonts w:eastAsia="Calibri"/>
      <w:sz w:val="24"/>
      <w:szCs w:val="24"/>
      <w:lang w:val="x-none" w:eastAsia="x-none"/>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053768"/>
    <w:pPr>
      <w:spacing w:after="160" w:line="240" w:lineRule="exact"/>
    </w:pPr>
    <w:rPr>
      <w:rFonts w:asciiTheme="minorHAnsi" w:eastAsiaTheme="minorHAnsi" w:hAnsiTheme="minorHAnsi" w:cstheme="minorBidi"/>
      <w:sz w:val="22"/>
      <w:szCs w:val="22"/>
      <w:vertAlign w:val="superscript"/>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053768"/>
    <w:rPr>
      <w:rFonts w:ascii="Times New Roman" w:eastAsia="Calibri" w:hAnsi="Times New Roman" w:cs="Times New Roman"/>
      <w:sz w:val="24"/>
      <w:szCs w:val="24"/>
      <w:lang w:val="x-none" w:eastAsia="x-none"/>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8E7575"/>
    <w:pPr>
      <w:spacing w:after="160" w:line="240" w:lineRule="exact"/>
    </w:pPr>
    <w:rPr>
      <w:rFonts w:asciiTheme="minorHAnsi" w:eastAsiaTheme="minorHAnsi" w:hAnsiTheme="minorHAnsi" w:cstheme="minorBidi"/>
      <w:sz w:val="22"/>
      <w:szCs w:val="22"/>
      <w:vertAlign w:val="superscript"/>
    </w:rPr>
  </w:style>
  <w:style w:type="character" w:customStyle="1" w:styleId="normalchar">
    <w:name w:val="normal__char"/>
    <w:basedOn w:val="DefaultParagraphFont"/>
    <w:rsid w:val="008E7575"/>
  </w:style>
  <w:style w:type="paragraph" w:styleId="BalloonText">
    <w:name w:val="Balloon Text"/>
    <w:basedOn w:val="Normal"/>
    <w:link w:val="BalloonTextChar"/>
    <w:semiHidden/>
    <w:unhideWhenUsed/>
    <w:rsid w:val="00567AEE"/>
    <w:rPr>
      <w:rFonts w:ascii="Segoe UI" w:hAnsi="Segoe UI" w:cs="Segoe UI"/>
      <w:sz w:val="18"/>
      <w:szCs w:val="18"/>
    </w:rPr>
  </w:style>
  <w:style w:type="character" w:customStyle="1" w:styleId="BalloonTextChar">
    <w:name w:val="Balloon Text Char"/>
    <w:basedOn w:val="DefaultParagraphFont"/>
    <w:link w:val="BalloonText"/>
    <w:semiHidden/>
    <w:rsid w:val="00567AEE"/>
    <w:rPr>
      <w:rFonts w:ascii="Segoe UI" w:eastAsia="Times New Roman" w:hAnsi="Segoe UI" w:cs="Segoe UI"/>
      <w:sz w:val="18"/>
      <w:szCs w:val="18"/>
    </w:rPr>
  </w:style>
  <w:style w:type="paragraph" w:styleId="Revision">
    <w:name w:val="Revision"/>
    <w:hidden/>
    <w:uiPriority w:val="99"/>
    <w:semiHidden/>
    <w:rsid w:val="00163059"/>
    <w:pPr>
      <w:spacing w:after="0" w:line="240" w:lineRule="auto"/>
    </w:pPr>
    <w:rPr>
      <w:rFonts w:ascii="Times New Roman" w:eastAsia="Times New Roman" w:hAnsi="Times New Roman" w:cs="Times New Roman"/>
      <w:sz w:val="28"/>
      <w:szCs w:val="28"/>
    </w:rPr>
  </w:style>
  <w:style w:type="character" w:styleId="CommentReference">
    <w:name w:val="annotation reference"/>
    <w:basedOn w:val="DefaultParagraphFont"/>
    <w:uiPriority w:val="99"/>
    <w:semiHidden/>
    <w:unhideWhenUsed/>
    <w:rsid w:val="00750D6C"/>
    <w:rPr>
      <w:sz w:val="16"/>
      <w:szCs w:val="16"/>
    </w:rPr>
  </w:style>
  <w:style w:type="paragraph" w:styleId="CommentText">
    <w:name w:val="annotation text"/>
    <w:basedOn w:val="Normal"/>
    <w:link w:val="CommentTextChar"/>
    <w:uiPriority w:val="99"/>
    <w:unhideWhenUsed/>
    <w:rsid w:val="00750D6C"/>
    <w:rPr>
      <w:sz w:val="20"/>
      <w:szCs w:val="20"/>
    </w:rPr>
  </w:style>
  <w:style w:type="character" w:customStyle="1" w:styleId="CommentTextChar">
    <w:name w:val="Comment Text Char"/>
    <w:basedOn w:val="DefaultParagraphFont"/>
    <w:link w:val="CommentText"/>
    <w:uiPriority w:val="99"/>
    <w:rsid w:val="00750D6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50D6C"/>
    <w:rPr>
      <w:b/>
      <w:bCs/>
    </w:rPr>
  </w:style>
  <w:style w:type="character" w:customStyle="1" w:styleId="CommentSubjectChar">
    <w:name w:val="Comment Subject Char"/>
    <w:basedOn w:val="CommentTextChar"/>
    <w:link w:val="CommentSubject"/>
    <w:uiPriority w:val="99"/>
    <w:semiHidden/>
    <w:rsid w:val="00750D6C"/>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E11C99"/>
    <w:rPr>
      <w:color w:val="0563C1" w:themeColor="hyperlink"/>
      <w:u w:val="single"/>
    </w:rPr>
  </w:style>
  <w:style w:type="table" w:styleId="TableGrid">
    <w:name w:val="Table Grid"/>
    <w:basedOn w:val="TableNormal"/>
    <w:uiPriority w:val="39"/>
    <w:rsid w:val="00E11C99"/>
    <w:pPr>
      <w:spacing w:after="0" w:line="240" w:lineRule="auto"/>
    </w:pPr>
    <w:rPr>
      <w:rFonts w:ascii="Calibri" w:eastAsia="Calibri" w:hAnsi="Calibri" w:cs="Times New Roman"/>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E11C99"/>
    <w:pPr>
      <w:spacing w:after="200" w:line="276" w:lineRule="auto"/>
      <w:ind w:left="720"/>
      <w:contextualSpacing/>
    </w:pPr>
    <w:rPr>
      <w:rFonts w:eastAsia="Calibri"/>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E11C99"/>
    <w:rPr>
      <w:rFonts w:ascii="Times New Roman" w:eastAsia="Calibri" w:hAnsi="Times New Roman" w:cs="Times New Roman"/>
      <w:sz w:val="28"/>
      <w:szCs w:val="28"/>
    </w:rPr>
  </w:style>
  <w:style w:type="character" w:styleId="Strong">
    <w:name w:val="Strong"/>
    <w:basedOn w:val="DefaultParagraphFont"/>
    <w:qFormat/>
    <w:rsid w:val="00E11C99"/>
    <w:rPr>
      <w:rFonts w:cs="Times New Roman"/>
      <w:b/>
      <w:bCs/>
    </w:rPr>
  </w:style>
  <w:style w:type="paragraph" w:customStyle="1" w:styleId="Normal1">
    <w:name w:val="Normal1"/>
    <w:basedOn w:val="Normal"/>
    <w:qFormat/>
    <w:rsid w:val="00E11C99"/>
    <w:pPr>
      <w:spacing w:before="100" w:beforeAutospacing="1" w:after="100" w:afterAutospacing="1"/>
    </w:pPr>
    <w:rPr>
      <w:rFonts w:ascii="Calibri" w:hAnsi="Calibri" w:cs="Calibri"/>
      <w:sz w:val="24"/>
      <w:szCs w:val="24"/>
    </w:rPr>
  </w:style>
  <w:style w:type="character" w:customStyle="1" w:styleId="fontstyle01">
    <w:name w:val="fontstyle01"/>
    <w:rsid w:val="00E11C99"/>
    <w:rPr>
      <w:rFonts w:ascii="Times New Roman" w:hAnsi="Times New Roman" w:cs="Times New Roman" w:hint="default"/>
      <w:color w:val="000000"/>
      <w:sz w:val="28"/>
    </w:rPr>
  </w:style>
  <w:style w:type="paragraph" w:customStyle="1" w:styleId="Normal11">
    <w:name w:val="Normal11"/>
    <w:basedOn w:val="Normal"/>
    <w:rsid w:val="00E11C99"/>
    <w:pPr>
      <w:spacing w:before="100" w:beforeAutospacing="1" w:after="100" w:afterAutospacing="1"/>
    </w:pPr>
    <w:rPr>
      <w:rFonts w:ascii="Calibri" w:hAnsi="Calibri" w:cs="Calibri"/>
      <w:sz w:val="24"/>
      <w:szCs w:val="24"/>
    </w:rPr>
  </w:style>
  <w:style w:type="paragraph" w:styleId="BodyTextIndent">
    <w:name w:val="Body Text Indent"/>
    <w:basedOn w:val="Normal"/>
    <w:link w:val="BodyTextIndentChar"/>
    <w:rsid w:val="00E11C99"/>
    <w:pPr>
      <w:ind w:left="360"/>
    </w:pPr>
    <w:rPr>
      <w:rFonts w:ascii=".VnTime" w:hAnsi=".VnTime"/>
    </w:rPr>
  </w:style>
  <w:style w:type="character" w:customStyle="1" w:styleId="BodyTextIndentChar">
    <w:name w:val="Body Text Indent Char"/>
    <w:basedOn w:val="DefaultParagraphFont"/>
    <w:link w:val="BodyTextIndent"/>
    <w:rsid w:val="00E11C99"/>
    <w:rPr>
      <w:rFonts w:ascii=".VnTime" w:eastAsia="Times New Roman" w:hAnsi=".VnTime" w:cs="Times New Roman"/>
      <w:sz w:val="28"/>
      <w:szCs w:val="28"/>
    </w:rPr>
  </w:style>
  <w:style w:type="paragraph" w:styleId="Header">
    <w:name w:val="header"/>
    <w:basedOn w:val="Normal"/>
    <w:link w:val="HeaderChar"/>
    <w:uiPriority w:val="99"/>
    <w:unhideWhenUsed/>
    <w:rsid w:val="008854E5"/>
    <w:pPr>
      <w:tabs>
        <w:tab w:val="center" w:pos="4513"/>
        <w:tab w:val="right" w:pos="9026"/>
      </w:tabs>
    </w:pPr>
  </w:style>
  <w:style w:type="character" w:customStyle="1" w:styleId="HeaderChar">
    <w:name w:val="Header Char"/>
    <w:basedOn w:val="DefaultParagraphFont"/>
    <w:link w:val="Header"/>
    <w:uiPriority w:val="99"/>
    <w:rsid w:val="008854E5"/>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8854E5"/>
    <w:pPr>
      <w:tabs>
        <w:tab w:val="center" w:pos="4513"/>
        <w:tab w:val="right" w:pos="9026"/>
      </w:tabs>
    </w:pPr>
  </w:style>
  <w:style w:type="character" w:customStyle="1" w:styleId="FooterChar">
    <w:name w:val="Footer Char"/>
    <w:basedOn w:val="DefaultParagraphFont"/>
    <w:link w:val="Footer"/>
    <w:uiPriority w:val="99"/>
    <w:rsid w:val="008854E5"/>
    <w:rPr>
      <w:rFonts w:ascii="Times New Roman" w:eastAsia="Times New Roman" w:hAnsi="Times New Roman" w:cs="Times New Roman"/>
      <w:sz w:val="28"/>
      <w:szCs w:val="28"/>
    </w:rPr>
  </w:style>
  <w:style w:type="paragraph" w:styleId="BodyText">
    <w:name w:val="Body Text"/>
    <w:basedOn w:val="Normal"/>
    <w:link w:val="BodyTextChar"/>
    <w:uiPriority w:val="99"/>
    <w:semiHidden/>
    <w:unhideWhenUsed/>
    <w:rsid w:val="00CC4DB2"/>
    <w:pPr>
      <w:spacing w:after="120"/>
    </w:pPr>
  </w:style>
  <w:style w:type="character" w:customStyle="1" w:styleId="BodyTextChar">
    <w:name w:val="Body Text Char"/>
    <w:basedOn w:val="DefaultParagraphFont"/>
    <w:link w:val="BodyText"/>
    <w:uiPriority w:val="99"/>
    <w:semiHidden/>
    <w:rsid w:val="00CC4DB2"/>
    <w:rPr>
      <w:rFonts w:ascii="Times New Roman" w:eastAsia="Times New Roman" w:hAnsi="Times New Roman" w:cs="Times New Roman"/>
      <w:sz w:val="28"/>
      <w:szCs w:val="28"/>
    </w:rPr>
  </w:style>
  <w:style w:type="table" w:customStyle="1" w:styleId="TableGrid1">
    <w:name w:val="Table Grid1"/>
    <w:basedOn w:val="TableNormal"/>
    <w:next w:val="TableGrid"/>
    <w:uiPriority w:val="39"/>
    <w:rsid w:val="00AE05A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1">
    <w:name w:val="a21"/>
    <w:rsid w:val="00987FCB"/>
    <w:rPr>
      <w:rFonts w:ascii="Arial" w:hAnsi="Arial" w:cs="Arial" w:hint="default"/>
      <w:strike w:val="0"/>
      <w:dstrike w:val="0"/>
      <w:sz w:val="20"/>
      <w:szCs w:val="20"/>
      <w:u w:val="none"/>
      <w:effect w:val="none"/>
    </w:rPr>
  </w:style>
  <w:style w:type="table" w:customStyle="1" w:styleId="TableGrid2">
    <w:name w:val="Table Grid2"/>
    <w:basedOn w:val="TableNormal"/>
    <w:next w:val="TableGrid"/>
    <w:uiPriority w:val="39"/>
    <w:rsid w:val="00EF01E6"/>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52563"/>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6457E"/>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20D5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basedOn w:val="Normal"/>
    <w:rsid w:val="007438AE"/>
    <w:pPr>
      <w:spacing w:before="100" w:beforeAutospacing="1" w:after="100" w:afterAutospacing="1"/>
    </w:pPr>
    <w:rPr>
      <w:sz w:val="24"/>
      <w:szCs w:val="24"/>
    </w:rPr>
  </w:style>
  <w:style w:type="table" w:customStyle="1" w:styleId="TableGrid6">
    <w:name w:val="Table Grid6"/>
    <w:basedOn w:val="TableNormal"/>
    <w:next w:val="TableGrid"/>
    <w:uiPriority w:val="39"/>
    <w:rsid w:val="0012442C"/>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74786"/>
    <w:pPr>
      <w:spacing w:after="0" w:line="240" w:lineRule="auto"/>
    </w:pPr>
    <w:rPr>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330949">
      <w:bodyDiv w:val="1"/>
      <w:marLeft w:val="0"/>
      <w:marRight w:val="0"/>
      <w:marTop w:val="0"/>
      <w:marBottom w:val="0"/>
      <w:divBdr>
        <w:top w:val="none" w:sz="0" w:space="0" w:color="auto"/>
        <w:left w:val="none" w:sz="0" w:space="0" w:color="auto"/>
        <w:bottom w:val="none" w:sz="0" w:space="0" w:color="auto"/>
        <w:right w:val="none" w:sz="0" w:space="0" w:color="auto"/>
      </w:divBdr>
    </w:div>
    <w:div w:id="269316731">
      <w:bodyDiv w:val="1"/>
      <w:marLeft w:val="0"/>
      <w:marRight w:val="0"/>
      <w:marTop w:val="0"/>
      <w:marBottom w:val="0"/>
      <w:divBdr>
        <w:top w:val="none" w:sz="0" w:space="0" w:color="auto"/>
        <w:left w:val="none" w:sz="0" w:space="0" w:color="auto"/>
        <w:bottom w:val="none" w:sz="0" w:space="0" w:color="auto"/>
        <w:right w:val="none" w:sz="0" w:space="0" w:color="auto"/>
      </w:divBdr>
    </w:div>
    <w:div w:id="280116521">
      <w:bodyDiv w:val="1"/>
      <w:marLeft w:val="0"/>
      <w:marRight w:val="0"/>
      <w:marTop w:val="0"/>
      <w:marBottom w:val="0"/>
      <w:divBdr>
        <w:top w:val="none" w:sz="0" w:space="0" w:color="auto"/>
        <w:left w:val="none" w:sz="0" w:space="0" w:color="auto"/>
        <w:bottom w:val="none" w:sz="0" w:space="0" w:color="auto"/>
        <w:right w:val="none" w:sz="0" w:space="0" w:color="auto"/>
      </w:divBdr>
    </w:div>
    <w:div w:id="964696685">
      <w:bodyDiv w:val="1"/>
      <w:marLeft w:val="0"/>
      <w:marRight w:val="0"/>
      <w:marTop w:val="0"/>
      <w:marBottom w:val="0"/>
      <w:divBdr>
        <w:top w:val="none" w:sz="0" w:space="0" w:color="auto"/>
        <w:left w:val="none" w:sz="0" w:space="0" w:color="auto"/>
        <w:bottom w:val="none" w:sz="0" w:space="0" w:color="auto"/>
        <w:right w:val="none" w:sz="0" w:space="0" w:color="auto"/>
      </w:divBdr>
    </w:div>
    <w:div w:id="1164977474">
      <w:bodyDiv w:val="1"/>
      <w:marLeft w:val="0"/>
      <w:marRight w:val="0"/>
      <w:marTop w:val="0"/>
      <w:marBottom w:val="0"/>
      <w:divBdr>
        <w:top w:val="none" w:sz="0" w:space="0" w:color="auto"/>
        <w:left w:val="none" w:sz="0" w:space="0" w:color="auto"/>
        <w:bottom w:val="none" w:sz="0" w:space="0" w:color="auto"/>
        <w:right w:val="none" w:sz="0" w:space="0" w:color="auto"/>
      </w:divBdr>
    </w:div>
    <w:div w:id="1198665927">
      <w:bodyDiv w:val="1"/>
      <w:marLeft w:val="0"/>
      <w:marRight w:val="0"/>
      <w:marTop w:val="0"/>
      <w:marBottom w:val="0"/>
      <w:divBdr>
        <w:top w:val="none" w:sz="0" w:space="0" w:color="auto"/>
        <w:left w:val="none" w:sz="0" w:space="0" w:color="auto"/>
        <w:bottom w:val="none" w:sz="0" w:space="0" w:color="auto"/>
        <w:right w:val="none" w:sz="0" w:space="0" w:color="auto"/>
      </w:divBdr>
    </w:div>
    <w:div w:id="1227105211">
      <w:bodyDiv w:val="1"/>
      <w:marLeft w:val="0"/>
      <w:marRight w:val="0"/>
      <w:marTop w:val="0"/>
      <w:marBottom w:val="0"/>
      <w:divBdr>
        <w:top w:val="none" w:sz="0" w:space="0" w:color="auto"/>
        <w:left w:val="none" w:sz="0" w:space="0" w:color="auto"/>
        <w:bottom w:val="none" w:sz="0" w:space="0" w:color="auto"/>
        <w:right w:val="none" w:sz="0" w:space="0" w:color="auto"/>
      </w:divBdr>
    </w:div>
    <w:div w:id="1274096600">
      <w:bodyDiv w:val="1"/>
      <w:marLeft w:val="0"/>
      <w:marRight w:val="0"/>
      <w:marTop w:val="0"/>
      <w:marBottom w:val="0"/>
      <w:divBdr>
        <w:top w:val="none" w:sz="0" w:space="0" w:color="auto"/>
        <w:left w:val="none" w:sz="0" w:space="0" w:color="auto"/>
        <w:bottom w:val="none" w:sz="0" w:space="0" w:color="auto"/>
        <w:right w:val="none" w:sz="0" w:space="0" w:color="auto"/>
      </w:divBdr>
    </w:div>
    <w:div w:id="1576741146">
      <w:bodyDiv w:val="1"/>
      <w:marLeft w:val="0"/>
      <w:marRight w:val="0"/>
      <w:marTop w:val="0"/>
      <w:marBottom w:val="0"/>
      <w:divBdr>
        <w:top w:val="none" w:sz="0" w:space="0" w:color="auto"/>
        <w:left w:val="none" w:sz="0" w:space="0" w:color="auto"/>
        <w:bottom w:val="none" w:sz="0" w:space="0" w:color="auto"/>
        <w:right w:val="none" w:sz="0" w:space="0" w:color="auto"/>
      </w:divBdr>
    </w:div>
    <w:div w:id="1675648246">
      <w:bodyDiv w:val="1"/>
      <w:marLeft w:val="0"/>
      <w:marRight w:val="0"/>
      <w:marTop w:val="0"/>
      <w:marBottom w:val="0"/>
      <w:divBdr>
        <w:top w:val="none" w:sz="0" w:space="0" w:color="auto"/>
        <w:left w:val="none" w:sz="0" w:space="0" w:color="auto"/>
        <w:bottom w:val="none" w:sz="0" w:space="0" w:color="auto"/>
        <w:right w:val="none" w:sz="0" w:space="0" w:color="auto"/>
      </w:divBdr>
    </w:div>
    <w:div w:id="1730691201">
      <w:bodyDiv w:val="1"/>
      <w:marLeft w:val="0"/>
      <w:marRight w:val="0"/>
      <w:marTop w:val="0"/>
      <w:marBottom w:val="0"/>
      <w:divBdr>
        <w:top w:val="none" w:sz="0" w:space="0" w:color="auto"/>
        <w:left w:val="none" w:sz="0" w:space="0" w:color="auto"/>
        <w:bottom w:val="none" w:sz="0" w:space="0" w:color="auto"/>
        <w:right w:val="none" w:sz="0" w:space="0" w:color="auto"/>
      </w:divBdr>
    </w:div>
    <w:div w:id="1732727961">
      <w:bodyDiv w:val="1"/>
      <w:marLeft w:val="0"/>
      <w:marRight w:val="0"/>
      <w:marTop w:val="0"/>
      <w:marBottom w:val="0"/>
      <w:divBdr>
        <w:top w:val="none" w:sz="0" w:space="0" w:color="auto"/>
        <w:left w:val="none" w:sz="0" w:space="0" w:color="auto"/>
        <w:bottom w:val="none" w:sz="0" w:space="0" w:color="auto"/>
        <w:right w:val="none" w:sz="0" w:space="0" w:color="auto"/>
      </w:divBdr>
    </w:div>
    <w:div w:id="1894611125">
      <w:bodyDiv w:val="1"/>
      <w:marLeft w:val="0"/>
      <w:marRight w:val="0"/>
      <w:marTop w:val="0"/>
      <w:marBottom w:val="0"/>
      <w:divBdr>
        <w:top w:val="none" w:sz="0" w:space="0" w:color="auto"/>
        <w:left w:val="none" w:sz="0" w:space="0" w:color="auto"/>
        <w:bottom w:val="none" w:sz="0" w:space="0" w:color="auto"/>
        <w:right w:val="none" w:sz="0" w:space="0" w:color="auto"/>
      </w:divBdr>
    </w:div>
    <w:div w:id="2076932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5.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8.sv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6.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image" Target="media/image10.wmf"/><Relationship Id="rId27"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10.42.9.250\tkth02\Tram%20Anh\Th&#225;ng%205\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0.42.9.250\tkth02\Tram%20Anh\Th&#225;ng%205\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tphuong\Desktop\N&#258;M%202025%20M&#7898;I\b&#225;o%20c&#225;o%20th&#225;ng%209,%2010,11,12,%202025\Th&#225;ng%2011\Bi&#7875;u%20&#273;&#7891;%20V&#272;T%20T11%202025.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btphuong\Desktop\N&#258;M%202025%20M&#7898;I\b&#225;o%20c&#225;o%20th&#225;ng%209,%2010,11,12,%202025\Th&#225;ng%2011\bi&#7875;u%20&#273;&#7891;%20FDI%20T11%202025.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btphuong\Desktop\N&#258;M%202025%20M&#7898;I\b&#225;o%20c&#225;o%20th&#225;ng%209,%2010,11,12,%202025\Th&#225;ng%2011\bi&#7875;u%20&#273;&#7891;%20FDI%202.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02%20BAO%20CAO\NAM2025\Form\Bi&#7875;u%20&#273;&#7891;%20XNK.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D:\02%20BAO%20CAO\NAM2025\Form\Bi&#7875;u%20&#273;&#7891;%20XNK.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chemeClr val="accent1"/>
            </a:solidFill>
            <a:ln>
              <a:noFill/>
            </a:ln>
            <a:effectLst/>
          </c:spPr>
          <c:invertIfNegative val="0"/>
          <c:dLbls>
            <c:dLbl>
              <c:idx val="0"/>
              <c:layout>
                <c:manualLayout>
                  <c:x val="-2.3285622136217643E-4"/>
                  <c:y val="-0.4140884855760743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73-43CF-BF16-92946381B59B}"/>
                </c:ext>
              </c:extLst>
            </c:dLbl>
            <c:dLbl>
              <c:idx val="1"/>
              <c:layout>
                <c:manualLayout>
                  <c:x val="0"/>
                  <c:y val="-0.3937315806596378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73-43CF-BF16-92946381B59B}"/>
                </c:ext>
              </c:extLst>
            </c:dLbl>
            <c:dLbl>
              <c:idx val="2"/>
              <c:layout>
                <c:manualLayout>
                  <c:x val="0"/>
                  <c:y val="-0.3081547228143438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73-43CF-BF16-92946381B59B}"/>
                </c:ext>
              </c:extLst>
            </c:dLbl>
            <c:dLbl>
              <c:idx val="3"/>
              <c:layout>
                <c:manualLayout>
                  <c:x val="0"/>
                  <c:y val="-0.2695320629300035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73-43CF-BF16-92946381B59B}"/>
                </c:ext>
              </c:extLst>
            </c:dLbl>
            <c:dLbl>
              <c:idx val="4"/>
              <c:layout>
                <c:manualLayout>
                  <c:x val="-1.7610758148684997E-3"/>
                  <c:y val="-0.267846327401049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73-43CF-BF16-92946381B59B}"/>
                </c:ext>
              </c:extLst>
            </c:dLbl>
            <c:dLbl>
              <c:idx val="5"/>
              <c:layout>
                <c:manualLayout>
                  <c:x val="-2.3725989915282069E-4"/>
                  <c:y val="-0.2530726277004579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73-43CF-BF16-92946381B59B}"/>
                </c:ext>
              </c:extLst>
            </c:dLbl>
            <c:dLbl>
              <c:idx val="6"/>
              <c:layout>
                <c:manualLayout>
                  <c:x val="-1.7610758148684997E-3"/>
                  <c:y val="-0.2658800049536353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E73-43CF-BF16-92946381B59B}"/>
                </c:ext>
              </c:extLst>
            </c:dLbl>
            <c:dLbl>
              <c:idx val="7"/>
              <c:layout>
                <c:manualLayout>
                  <c:x val="-1.2914406787373094E-16"/>
                  <c:y val="-0.273551370273489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E73-43CF-BF16-92946381B59B}"/>
                </c:ext>
              </c:extLst>
            </c:dLbl>
            <c:dLbl>
              <c:idx val="8"/>
              <c:layout>
                <c:manualLayout>
                  <c:x val="-3.9968100954295089E-3"/>
                  <c:y val="-0.2484690121041521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E73-43CF-BF16-92946381B59B}"/>
                </c:ext>
              </c:extLst>
            </c:dLbl>
            <c:dLbl>
              <c:idx val="9"/>
              <c:layout>
                <c:manualLayout>
                  <c:x val="-1.7610758148684997E-3"/>
                  <c:y val="-0.2596620776518176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E73-43CF-BF16-92946381B59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Sheet1!$A$1:$A$10</c:f>
              <c:strCache>
                <c:ptCount val="10"/>
                <c:pt idx="0">
                  <c:v>Phú Thọ</c:v>
                </c:pt>
                <c:pt idx="1">
                  <c:v>Ninh Bình</c:v>
                </c:pt>
                <c:pt idx="2">
                  <c:v>Bắc Ninh</c:v>
                </c:pt>
                <c:pt idx="3">
                  <c:v>Nghệ An</c:v>
                </c:pt>
                <c:pt idx="4">
                  <c:v>Quảng Ninh</c:v>
                </c:pt>
                <c:pt idx="5">
                  <c:v>Thanh Hóa</c:v>
                </c:pt>
                <c:pt idx="6">
                  <c:v>Hải Phòng</c:v>
                </c:pt>
                <c:pt idx="7">
                  <c:v>Tây Ninh</c:v>
                </c:pt>
                <c:pt idx="8">
                  <c:v>Đồng Nai</c:v>
                </c:pt>
                <c:pt idx="9">
                  <c:v>Huế</c:v>
                </c:pt>
              </c:strCache>
            </c:strRef>
          </c:cat>
          <c:val>
            <c:numRef>
              <c:f>Sheet1!$B$1:$B$10</c:f>
              <c:numCache>
                <c:formatCode>0.0</c:formatCode>
                <c:ptCount val="10"/>
                <c:pt idx="0">
                  <c:v>27.39</c:v>
                </c:pt>
                <c:pt idx="1">
                  <c:v>22.510000000000005</c:v>
                </c:pt>
                <c:pt idx="2">
                  <c:v>16.790000000000006</c:v>
                </c:pt>
                <c:pt idx="3">
                  <c:v>16.459999999999994</c:v>
                </c:pt>
                <c:pt idx="4">
                  <c:v>16.11</c:v>
                </c:pt>
                <c:pt idx="5">
                  <c:v>15.730000000000004</c:v>
                </c:pt>
                <c:pt idx="6">
                  <c:v>15.14</c:v>
                </c:pt>
                <c:pt idx="7">
                  <c:v>14.920000000000002</c:v>
                </c:pt>
                <c:pt idx="8">
                  <c:v>14.700000000000003</c:v>
                </c:pt>
                <c:pt idx="9">
                  <c:v>14.689999999999998</c:v>
                </c:pt>
              </c:numCache>
            </c:numRef>
          </c:val>
          <c:extLst>
            <c:ext xmlns:c16="http://schemas.microsoft.com/office/drawing/2014/chart" uri="{C3380CC4-5D6E-409C-BE32-E72D297353CC}">
              <c16:uniqueId val="{0000000A-7E73-43CF-BF16-92946381B59B}"/>
            </c:ext>
          </c:extLst>
        </c:ser>
        <c:dLbls>
          <c:dLblPos val="ctr"/>
          <c:showLegendKey val="0"/>
          <c:showVal val="1"/>
          <c:showCatName val="0"/>
          <c:showSerName val="0"/>
          <c:showPercent val="0"/>
          <c:showBubbleSize val="0"/>
        </c:dLbls>
        <c:gapWidth val="150"/>
        <c:overlap val="100"/>
        <c:axId val="791092032"/>
        <c:axId val="791093120"/>
      </c:barChart>
      <c:catAx>
        <c:axId val="79109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91093120"/>
        <c:crosses val="autoZero"/>
        <c:auto val="1"/>
        <c:lblAlgn val="ctr"/>
        <c:lblOffset val="100"/>
        <c:noMultiLvlLbl val="0"/>
      </c:catAx>
      <c:valAx>
        <c:axId val="791093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910920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rgbClr val="C00000"/>
            </a:solidFill>
            <a:ln>
              <a:noFill/>
            </a:ln>
            <a:effectLst/>
          </c:spPr>
          <c:invertIfNegative val="0"/>
          <c:dLbls>
            <c:dLbl>
              <c:idx val="0"/>
              <c:layout>
                <c:manualLayout>
                  <c:x val="-5.0509382242499646E-3"/>
                  <c:y val="-0.2778622637410384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4A4-4C13-8EDA-3C0127DCBEBD}"/>
                </c:ext>
              </c:extLst>
            </c:dLbl>
            <c:dLbl>
              <c:idx val="1"/>
              <c:layout>
                <c:manualLayout>
                  <c:x val="-5.4703827679633841E-3"/>
                  <c:y val="-0.3085162213653939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A4-4C13-8EDA-3C0127DCBEBD}"/>
                </c:ext>
              </c:extLst>
            </c:dLbl>
            <c:dLbl>
              <c:idx val="2"/>
              <c:layout>
                <c:manualLayout>
                  <c:x val="-2.4669004120324595E-3"/>
                  <c:y val="-0.3119650137440306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4A4-4C13-8EDA-3C0127DCBEBD}"/>
                </c:ext>
              </c:extLst>
            </c:dLbl>
            <c:dLbl>
              <c:idx val="3"/>
              <c:layout>
                <c:manualLayout>
                  <c:x val="-4.8660331981951578E-3"/>
                  <c:y val="-0.3291698054219557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A4-4C13-8EDA-3C0127DCBEBD}"/>
                </c:ext>
              </c:extLst>
            </c:dLbl>
            <c:dLbl>
              <c:idx val="4"/>
              <c:layout>
                <c:manualLayout>
                  <c:x val="-2.097884511789139E-4"/>
                  <c:y val="-0.3589232107825447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4A4-4C13-8EDA-3C0127DCBEBD}"/>
                </c:ext>
              </c:extLst>
            </c:dLbl>
            <c:dLbl>
              <c:idx val="5"/>
              <c:layout>
                <c:manualLayout>
                  <c:x val="4.8540336950414313E-3"/>
                  <c:y val="-0.38076308433275757"/>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7.2052297810599755E-2"/>
                      <c:h val="8.356687328977494E-2"/>
                    </c:manualLayout>
                  </c15:layout>
                </c:ext>
                <c:ext xmlns:c16="http://schemas.microsoft.com/office/drawing/2014/chart" uri="{C3380CC4-5D6E-409C-BE32-E72D297353CC}">
                  <c16:uniqueId val="{00000005-64A4-4C13-8EDA-3C0127DCBEBD}"/>
                </c:ext>
              </c:extLst>
            </c:dLbl>
            <c:dLbl>
              <c:idx val="6"/>
              <c:layout>
                <c:manualLayout>
                  <c:x val="-5.0428643469491901E-3"/>
                  <c:y val="-0.4148724229715903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4A4-4C13-8EDA-3C0127DCBEBD}"/>
                </c:ext>
              </c:extLst>
            </c:dLbl>
            <c:dLbl>
              <c:idx val="7"/>
              <c:layout>
                <c:manualLayout>
                  <c:x val="-6.7317606479220355E-4"/>
                  <c:y val="-0.4091673536566302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4A4-4C13-8EDA-3C0127DCBEBD}"/>
                </c:ext>
              </c:extLst>
            </c:dLbl>
            <c:dLbl>
              <c:idx val="8"/>
              <c:layout>
                <c:manualLayout>
                  <c:x val="6.7327290118165397E-4"/>
                  <c:y val="-0.3826671664096367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4A4-4C13-8EDA-3C0127DCBEBD}"/>
                </c:ext>
              </c:extLst>
            </c:dLbl>
            <c:dLbl>
              <c:idx val="9"/>
              <c:layout>
                <c:manualLayout>
                  <c:x val="7.8999642435167853E-4"/>
                  <c:y val="-0.4002996255231607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4A4-4C13-8EDA-3C0127DCBEB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Sheet1!$A$16:$A$25</c:f>
              <c:strCache>
                <c:ptCount val="10"/>
                <c:pt idx="0">
                  <c:v>Lâm Đồng</c:v>
                </c:pt>
                <c:pt idx="1">
                  <c:v>Vĩnh Long</c:v>
                </c:pt>
                <c:pt idx="2">
                  <c:v>Lạng Sơn </c:v>
                </c:pt>
                <c:pt idx="3">
                  <c:v>Khánh Hòa</c:v>
                </c:pt>
                <c:pt idx="4">
                  <c:v>Cao Bằng</c:v>
                </c:pt>
                <c:pt idx="5">
                  <c:v>Hà Tĩnh</c:v>
                </c:pt>
                <c:pt idx="6">
                  <c:v> Hà Nội</c:v>
                </c:pt>
                <c:pt idx="7">
                  <c:v>Tuyên Quang</c:v>
                </c:pt>
                <c:pt idx="8">
                  <c:v>Quảng Trị</c:v>
                </c:pt>
                <c:pt idx="9">
                  <c:v>TP. Hồ Chí Minh</c:v>
                </c:pt>
              </c:strCache>
            </c:strRef>
          </c:cat>
          <c:val>
            <c:numRef>
              <c:f>Sheet1!$B$16:$B$25</c:f>
              <c:numCache>
                <c:formatCode>0.0</c:formatCode>
                <c:ptCount val="10"/>
                <c:pt idx="0">
                  <c:v>4.269999999999996</c:v>
                </c:pt>
                <c:pt idx="1">
                  <c:v>6.0100000000000051</c:v>
                </c:pt>
                <c:pt idx="2">
                  <c:v>6.1500000000000057</c:v>
                </c:pt>
                <c:pt idx="3">
                  <c:v>6.2399999999999949</c:v>
                </c:pt>
                <c:pt idx="4">
                  <c:v>6.5</c:v>
                </c:pt>
                <c:pt idx="5">
                  <c:v>6.6400000000000006</c:v>
                </c:pt>
                <c:pt idx="6">
                  <c:v>7.019999999999996</c:v>
                </c:pt>
                <c:pt idx="7">
                  <c:v>7.0600000000000023</c:v>
                </c:pt>
                <c:pt idx="8">
                  <c:v>8.1500000000000057</c:v>
                </c:pt>
                <c:pt idx="9">
                  <c:v>8.2900000000000063</c:v>
                </c:pt>
              </c:numCache>
            </c:numRef>
          </c:val>
          <c:extLst>
            <c:ext xmlns:c16="http://schemas.microsoft.com/office/drawing/2014/chart" uri="{C3380CC4-5D6E-409C-BE32-E72D297353CC}">
              <c16:uniqueId val="{0000000A-64A4-4C13-8EDA-3C0127DCBEBD}"/>
            </c:ext>
          </c:extLst>
        </c:ser>
        <c:dLbls>
          <c:dLblPos val="ctr"/>
          <c:showLegendKey val="0"/>
          <c:showVal val="1"/>
          <c:showCatName val="0"/>
          <c:showSerName val="0"/>
          <c:showPercent val="0"/>
          <c:showBubbleSize val="0"/>
        </c:dLbls>
        <c:gapWidth val="150"/>
        <c:overlap val="100"/>
        <c:axId val="439049824"/>
        <c:axId val="793943360"/>
      </c:barChart>
      <c:catAx>
        <c:axId val="439049824"/>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93943360"/>
        <c:crosses val="autoZero"/>
        <c:auto val="1"/>
        <c:lblAlgn val="ctr"/>
        <c:lblOffset val="100"/>
        <c:noMultiLvlLbl val="0"/>
      </c:catAx>
      <c:valAx>
        <c:axId val="7939433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390498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294158198993559E-2"/>
          <c:y val="0.12987602195116291"/>
          <c:w val="0.89996767604437333"/>
          <c:h val="0.66574137320055682"/>
        </c:manualLayout>
      </c:layout>
      <c:barChart>
        <c:barDir val="col"/>
        <c:grouping val="clustered"/>
        <c:varyColors val="0"/>
        <c:ser>
          <c:idx val="0"/>
          <c:order val="0"/>
          <c:tx>
            <c:strRef>
              <c:f>'Hình 7. Địa phương'!$D$4</c:f>
              <c:strCache>
                <c:ptCount val="1"/>
                <c:pt idx="0">
                  <c:v>11 tháng năm  2024</c:v>
                </c:pt>
              </c:strCache>
            </c:strRef>
          </c:tx>
          <c:spPr>
            <a:solidFill>
              <a:srgbClr val="CFB09D"/>
            </a:solidFill>
            <a:ln>
              <a:noFill/>
            </a:ln>
            <a:effectLst/>
          </c:spPr>
          <c:invertIfNegative val="0"/>
          <c:cat>
            <c:strRef>
              <c:f>'Hình 7. Địa phương'!$C$5:$C$26</c:f>
              <c:strCache>
                <c:ptCount val="22"/>
                <c:pt idx="0">
                  <c:v>TP. Hồ Chí Minh</c:v>
                </c:pt>
                <c:pt idx="1">
                  <c:v>Hà Nội</c:v>
                </c:pt>
                <c:pt idx="2">
                  <c:v>Ninh Bình</c:v>
                </c:pt>
                <c:pt idx="3">
                  <c:v>Hưng Yên</c:v>
                </c:pt>
                <c:pt idx="4">
                  <c:v>Hải Phòng</c:v>
                </c:pt>
                <c:pt idx="5">
                  <c:v>Đồng Nai</c:v>
                </c:pt>
                <c:pt idx="6">
                  <c:v>Cần Thơ</c:v>
                </c:pt>
                <c:pt idx="7">
                  <c:v>Phú Thọ</c:v>
                </c:pt>
                <c:pt idx="8">
                  <c:v>Thanh Hóa</c:v>
                </c:pt>
                <c:pt idx="13">
                  <c:v>Phú Thọ</c:v>
                </c:pt>
                <c:pt idx="14">
                  <c:v>Cần Thơ</c:v>
                </c:pt>
                <c:pt idx="15">
                  <c:v>Đồng Nai</c:v>
                </c:pt>
                <c:pt idx="16">
                  <c:v>Đà Nẵng</c:v>
                </c:pt>
                <c:pt idx="19">
                  <c:v>Phú Thọ</c:v>
                </c:pt>
                <c:pt idx="21">
                  <c:v>Bắc Ninh</c:v>
                </c:pt>
              </c:strCache>
            </c:strRef>
          </c:cat>
          <c:val>
            <c:numRef>
              <c:f>'Hình 7. Địa phương'!$D$5:$D$13</c:f>
              <c:numCache>
                <c:formatCode>0.0</c:formatCode>
                <c:ptCount val="9"/>
                <c:pt idx="0">
                  <c:v>79929.413939999999</c:v>
                </c:pt>
                <c:pt idx="1">
                  <c:v>62466.237000000001</c:v>
                </c:pt>
                <c:pt idx="2">
                  <c:v>20011.365000000002</c:v>
                </c:pt>
                <c:pt idx="3">
                  <c:v>22964.095000000001</c:v>
                </c:pt>
                <c:pt idx="4">
                  <c:v>23904.218000000001</c:v>
                </c:pt>
                <c:pt idx="5">
                  <c:v>15311.406999999999</c:v>
                </c:pt>
                <c:pt idx="6">
                  <c:v>19120.861000000001</c:v>
                </c:pt>
                <c:pt idx="7">
                  <c:v>19167.294000000002</c:v>
                </c:pt>
                <c:pt idx="8">
                  <c:v>11490.464</c:v>
                </c:pt>
              </c:numCache>
            </c:numRef>
          </c:val>
          <c:extLst>
            <c:ext xmlns:c16="http://schemas.microsoft.com/office/drawing/2014/chart" uri="{C3380CC4-5D6E-409C-BE32-E72D297353CC}">
              <c16:uniqueId val="{00000000-AE66-42DD-AE54-4AF7541E9D0C}"/>
            </c:ext>
          </c:extLst>
        </c:ser>
        <c:ser>
          <c:idx val="1"/>
          <c:order val="1"/>
          <c:tx>
            <c:strRef>
              <c:f>'Hình 7. Địa phương'!$E$4</c:f>
              <c:strCache>
                <c:ptCount val="1"/>
                <c:pt idx="0">
                  <c:v>11 tháng năm 2025</c:v>
                </c:pt>
              </c:strCache>
            </c:strRef>
          </c:tx>
          <c:spPr>
            <a:solidFill>
              <a:srgbClr val="C84863"/>
            </a:solidFill>
            <a:ln>
              <a:noFill/>
            </a:ln>
            <a:effectLst/>
          </c:spPr>
          <c:invertIfNegative val="0"/>
          <c:dLbls>
            <c:dLbl>
              <c:idx val="0"/>
              <c:layout>
                <c:manualLayout>
                  <c:x val="-7.3375262054507532E-3"/>
                  <c:y val="3.1339366157671003E-7"/>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0915498770200895"/>
                      <c:h val="6.4288008775022526E-2"/>
                    </c:manualLayout>
                  </c15:layout>
                </c:ext>
                <c:ext xmlns:c16="http://schemas.microsoft.com/office/drawing/2014/chart" uri="{C3380CC4-5D6E-409C-BE32-E72D297353CC}">
                  <c16:uniqueId val="{00000001-AE66-42DD-AE54-4AF7541E9D0C}"/>
                </c:ext>
              </c:extLst>
            </c:dLbl>
            <c:dLbl>
              <c:idx val="2"/>
              <c:layout>
                <c:manualLayout>
                  <c:x val="1.3714284068777314E-2"/>
                  <c:y val="-2.560655269667337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66-42DD-AE54-4AF7541E9D0C}"/>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7. Địa phương'!$C$5:$C$26</c:f>
              <c:strCache>
                <c:ptCount val="22"/>
                <c:pt idx="0">
                  <c:v>TP. Hồ Chí Minh</c:v>
                </c:pt>
                <c:pt idx="1">
                  <c:v>Hà Nội</c:v>
                </c:pt>
                <c:pt idx="2">
                  <c:v>Ninh Bình</c:v>
                </c:pt>
                <c:pt idx="3">
                  <c:v>Hưng Yên</c:v>
                </c:pt>
                <c:pt idx="4">
                  <c:v>Hải Phòng</c:v>
                </c:pt>
                <c:pt idx="5">
                  <c:v>Đồng Nai</c:v>
                </c:pt>
                <c:pt idx="6">
                  <c:v>Cần Thơ</c:v>
                </c:pt>
                <c:pt idx="7">
                  <c:v>Phú Thọ</c:v>
                </c:pt>
                <c:pt idx="8">
                  <c:v>Thanh Hóa</c:v>
                </c:pt>
                <c:pt idx="13">
                  <c:v>Phú Thọ</c:v>
                </c:pt>
                <c:pt idx="14">
                  <c:v>Cần Thơ</c:v>
                </c:pt>
                <c:pt idx="15">
                  <c:v>Đồng Nai</c:v>
                </c:pt>
                <c:pt idx="16">
                  <c:v>Đà Nẵng</c:v>
                </c:pt>
                <c:pt idx="19">
                  <c:v>Phú Thọ</c:v>
                </c:pt>
                <c:pt idx="21">
                  <c:v>Bắc Ninh</c:v>
                </c:pt>
              </c:strCache>
            </c:strRef>
          </c:cat>
          <c:val>
            <c:numRef>
              <c:f>'Hình 7. Địa phương'!$E$5:$E$13</c:f>
              <c:numCache>
                <c:formatCode>0.0</c:formatCode>
                <c:ptCount val="9"/>
                <c:pt idx="0">
                  <c:v>114930.03276999999</c:v>
                </c:pt>
                <c:pt idx="1">
                  <c:v>79717.373000000007</c:v>
                </c:pt>
                <c:pt idx="2">
                  <c:v>45987.069000000003</c:v>
                </c:pt>
                <c:pt idx="3">
                  <c:v>35551.460450000006</c:v>
                </c:pt>
                <c:pt idx="4">
                  <c:v>28957.832999999999</c:v>
                </c:pt>
                <c:pt idx="5">
                  <c:v>23301.304</c:v>
                </c:pt>
                <c:pt idx="6">
                  <c:v>22480.402999999998</c:v>
                </c:pt>
                <c:pt idx="7">
                  <c:v>21871.805</c:v>
                </c:pt>
                <c:pt idx="8">
                  <c:v>16061.985000000001</c:v>
                </c:pt>
              </c:numCache>
            </c:numRef>
          </c:val>
          <c:extLst>
            <c:ext xmlns:c16="http://schemas.microsoft.com/office/drawing/2014/chart" uri="{C3380CC4-5D6E-409C-BE32-E72D297353CC}">
              <c16:uniqueId val="{00000003-AE66-42DD-AE54-4AF7541E9D0C}"/>
            </c:ext>
          </c:extLst>
        </c:ser>
        <c:dLbls>
          <c:showLegendKey val="0"/>
          <c:showVal val="0"/>
          <c:showCatName val="0"/>
          <c:showSerName val="0"/>
          <c:showPercent val="0"/>
          <c:showBubbleSize val="0"/>
        </c:dLbls>
        <c:gapWidth val="36"/>
        <c:axId val="793940640"/>
        <c:axId val="793937920"/>
      </c:barChart>
      <c:catAx>
        <c:axId val="793940640"/>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93937920"/>
        <c:crosses val="autoZero"/>
        <c:auto val="1"/>
        <c:lblAlgn val="ctr"/>
        <c:lblOffset val="100"/>
        <c:noMultiLvlLbl val="0"/>
      </c:catAx>
      <c:valAx>
        <c:axId val="79393792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793940640"/>
        <c:crosses val="autoZero"/>
        <c:crossBetween val="between"/>
      </c:valAx>
      <c:spPr>
        <a:noFill/>
        <a:ln>
          <a:noFill/>
        </a:ln>
        <a:effectLst/>
      </c:spPr>
    </c:plotArea>
    <c:legend>
      <c:legendPos val="b"/>
      <c:layout>
        <c:manualLayout>
          <c:xMode val="edge"/>
          <c:yMode val="edge"/>
          <c:x val="9.8974536306017394E-2"/>
          <c:y val="0.8907966715509098"/>
          <c:w val="0.79532792856957735"/>
          <c:h val="3.9670390664644672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b="1"/>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invertIfNegative val="0"/>
          <c:dLbls>
            <c:dLbl>
              <c:idx val="0"/>
              <c:layout>
                <c:manualLayout>
                  <c:x val="-2.8828823375408787E-2"/>
                  <c:y val="-7.638800644811996E-17"/>
                </c:manualLayout>
              </c:layout>
              <c:tx>
                <c:rich>
                  <a:bodyPr/>
                  <a:lstStyle/>
                  <a:p>
                    <a:r>
                      <a:rPr lang="en-US"/>
                      <a:t>14,06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3B5-47C7-9CE8-8700502295EB}"/>
                </c:ext>
              </c:extLst>
            </c:dLbl>
            <c:dLbl>
              <c:idx val="1"/>
              <c:tx>
                <c:rich>
                  <a:bodyPr/>
                  <a:lstStyle/>
                  <a:p>
                    <a:r>
                      <a:rPr lang="en-US"/>
                      <a:t>11,52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3B5-47C7-9CE8-8700502295EB}"/>
                </c:ext>
              </c:extLst>
            </c:dLbl>
            <c:dLbl>
              <c:idx val="2"/>
              <c:tx>
                <c:rich>
                  <a:bodyPr/>
                  <a:lstStyle/>
                  <a:p>
                    <a:r>
                      <a:rPr lang="en-US"/>
                      <a:t>17,27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3B5-47C7-9CE8-8700502295EB}"/>
                </c:ext>
              </c:extLst>
            </c:dLbl>
            <c:dLbl>
              <c:idx val="3"/>
              <c:layout>
                <c:manualLayout>
                  <c:x val="-1.9219215583605901E-2"/>
                  <c:y val="-3.819400322405998E-17"/>
                </c:manualLayout>
              </c:layout>
              <c:tx>
                <c:rich>
                  <a:bodyPr/>
                  <a:lstStyle/>
                  <a:p>
                    <a:r>
                      <a:rPr lang="en-US"/>
                      <a:t>17,39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3B5-47C7-9CE8-8700502295EB}"/>
                </c:ext>
              </c:extLst>
            </c:dLbl>
            <c:dLbl>
              <c:idx val="4"/>
              <c:tx>
                <c:rich>
                  <a:bodyPr/>
                  <a:lstStyle/>
                  <a:p>
                    <a:r>
                      <a:rPr lang="en-US"/>
                      <a:t>15,96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3B5-47C7-9CE8-8700502295E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'04. FDI SO SANH '!$B$15:$F$15</c:f>
              <c:numCache>
                <c:formatCode>General</c:formatCode>
                <c:ptCount val="5"/>
                <c:pt idx="0">
                  <c:v>2021</c:v>
                </c:pt>
                <c:pt idx="1">
                  <c:v>2022</c:v>
                </c:pt>
                <c:pt idx="2">
                  <c:v>2023</c:v>
                </c:pt>
                <c:pt idx="3">
                  <c:v>2024</c:v>
                </c:pt>
                <c:pt idx="4">
                  <c:v>2025</c:v>
                </c:pt>
              </c:numCache>
            </c:numRef>
          </c:cat>
          <c:val>
            <c:numRef>
              <c:f>'04. FDI SO SANH '!$B$16:$F$16</c:f>
              <c:numCache>
                <c:formatCode>0.00</c:formatCode>
                <c:ptCount val="5"/>
                <c:pt idx="0">
                  <c:v>14.057753528659999</c:v>
                </c:pt>
                <c:pt idx="1">
                  <c:v>11.521124461189995</c:v>
                </c:pt>
                <c:pt idx="2">
                  <c:v>17.273936603379994</c:v>
                </c:pt>
                <c:pt idx="3">
                  <c:v>17.387185001999992</c:v>
                </c:pt>
                <c:pt idx="4">
                  <c:v>15.956700484060001</c:v>
                </c:pt>
              </c:numCache>
            </c:numRef>
          </c:val>
          <c:extLst>
            <c:ext xmlns:c16="http://schemas.microsoft.com/office/drawing/2014/chart" uri="{C3380CC4-5D6E-409C-BE32-E72D297353CC}">
              <c16:uniqueId val="{00000005-73B5-47C7-9CE8-8700502295EB}"/>
            </c:ext>
          </c:extLst>
        </c:ser>
        <c:ser>
          <c:idx val="1"/>
          <c:order val="1"/>
          <c:tx>
            <c:strRef>
              <c:f>'04. FDI SO SANH '!$A$17</c:f>
              <c:strCache>
                <c:ptCount val="1"/>
                <c:pt idx="0">
                  <c:v>    Đăng ký điều chỉnh</c:v>
                </c:pt>
              </c:strCache>
            </c:strRef>
          </c:tx>
          <c:invertIfNegative val="0"/>
          <c:dLbls>
            <c:dLbl>
              <c:idx val="0"/>
              <c:tx>
                <c:rich>
                  <a:bodyPr/>
                  <a:lstStyle/>
                  <a:p>
                    <a:r>
                      <a:rPr lang="en-US"/>
                      <a:t>8,02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73B5-47C7-9CE8-8700502295EB}"/>
                </c:ext>
              </c:extLst>
            </c:dLbl>
            <c:dLbl>
              <c:idx val="1"/>
              <c:layout>
                <c:manualLayout>
                  <c:x val="3.6036029219260982E-2"/>
                  <c:y val="-7.638800644811996E-17"/>
                </c:manualLayout>
              </c:layout>
              <c:tx>
                <c:rich>
                  <a:bodyPr/>
                  <a:lstStyle/>
                  <a:p>
                    <a:r>
                      <a:rPr lang="en-US"/>
                      <a:t>9,54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73B5-47C7-9CE8-8700502295EB}"/>
                </c:ext>
              </c:extLst>
            </c:dLbl>
            <c:dLbl>
              <c:idx val="2"/>
              <c:layout>
                <c:manualLayout>
                  <c:x val="-2.8828823375408787E-2"/>
                  <c:y val="-3.819400322405998E-17"/>
                </c:manualLayout>
              </c:layout>
              <c:tx>
                <c:rich>
                  <a:bodyPr wrap="square" lIns="38100" tIns="19050" rIns="38100" bIns="19050" anchor="ctr">
                    <a:noAutofit/>
                  </a:bodyPr>
                  <a:lstStyle/>
                  <a:p>
                    <a:pPr>
                      <a:defRPr/>
                    </a:pPr>
                    <a:r>
                      <a:rPr lang="en-US"/>
                      <a:t>7,07</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7.2240226574878524E-2"/>
                      <c:h val="6.3354330708661422E-2"/>
                    </c:manualLayout>
                  </c15:layout>
                  <c15:showDataLabelsRange val="0"/>
                </c:ext>
                <c:ext xmlns:c16="http://schemas.microsoft.com/office/drawing/2014/chart" uri="{C3380CC4-5D6E-409C-BE32-E72D297353CC}">
                  <c16:uniqueId val="{00000008-73B5-47C7-9CE8-8700502295EB}"/>
                </c:ext>
              </c:extLst>
            </c:dLbl>
            <c:dLbl>
              <c:idx val="3"/>
              <c:layout>
                <c:manualLayout>
                  <c:x val="-9.6096077918029297E-3"/>
                  <c:y val="-8.3333333333333714E-3"/>
                </c:manualLayout>
              </c:layout>
              <c:tx>
                <c:rich>
                  <a:bodyPr/>
                  <a:lstStyle/>
                  <a:p>
                    <a:r>
                      <a:rPr lang="en-US"/>
                      <a:t>9,93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73B5-47C7-9CE8-8700502295EB}"/>
                </c:ext>
              </c:extLst>
            </c:dLbl>
            <c:dLbl>
              <c:idx val="4"/>
              <c:tx>
                <c:rich>
                  <a:bodyPr/>
                  <a:lstStyle/>
                  <a:p>
                    <a:r>
                      <a:rPr lang="en-US"/>
                      <a:t>11,62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73B5-47C7-9CE8-8700502295E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2021</c:v>
                </c:pt>
                <c:pt idx="1">
                  <c:v>2022</c:v>
                </c:pt>
                <c:pt idx="2">
                  <c:v>2023</c:v>
                </c:pt>
                <c:pt idx="3">
                  <c:v>2024</c:v>
                </c:pt>
                <c:pt idx="4">
                  <c:v>2025</c:v>
                </c:pt>
              </c:numCache>
            </c:numRef>
          </c:cat>
          <c:val>
            <c:numRef>
              <c:f>'04. FDI SO SANH '!$B$17:$F$17</c:f>
              <c:numCache>
                <c:formatCode>0.00</c:formatCode>
                <c:ptCount val="5"/>
                <c:pt idx="0">
                  <c:v>8.0218116528131258</c:v>
                </c:pt>
                <c:pt idx="1">
                  <c:v>9.5359460126887523</c:v>
                </c:pt>
                <c:pt idx="2">
                  <c:v>7.0606370731158519</c:v>
                </c:pt>
                <c:pt idx="3">
                  <c:v>9.9317590687958877</c:v>
                </c:pt>
                <c:pt idx="4">
                  <c:v>11.617240785406747</c:v>
                </c:pt>
              </c:numCache>
            </c:numRef>
          </c:val>
          <c:extLst>
            <c:ext xmlns:c16="http://schemas.microsoft.com/office/drawing/2014/chart" uri="{C3380CC4-5D6E-409C-BE32-E72D297353CC}">
              <c16:uniqueId val="{0000000B-73B5-47C7-9CE8-8700502295EB}"/>
            </c:ext>
          </c:extLst>
        </c:ser>
        <c:ser>
          <c:idx val="2"/>
          <c:order val="2"/>
          <c:tx>
            <c:strRef>
              <c:f>'04. FDI SO SANH '!$A$18</c:f>
              <c:strCache>
                <c:ptCount val="1"/>
                <c:pt idx="0">
                  <c:v>Góp vốn, mua cổ phần</c:v>
                </c:pt>
              </c:strCache>
            </c:strRef>
          </c:tx>
          <c:invertIfNegative val="0"/>
          <c:dLbls>
            <c:dLbl>
              <c:idx val="0"/>
              <c:tx>
                <c:rich>
                  <a:bodyPr/>
                  <a:lstStyle/>
                  <a:p>
                    <a:r>
                      <a:rPr lang="en-US"/>
                      <a:t>4.38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73B5-47C7-9CE8-8700502295EB}"/>
                </c:ext>
              </c:extLst>
            </c:dLbl>
            <c:dLbl>
              <c:idx val="1"/>
              <c:tx>
                <c:rich>
                  <a:bodyPr/>
                  <a:lstStyle/>
                  <a:p>
                    <a:r>
                      <a:rPr lang="en-US" baseline="0"/>
                      <a:t>4,08</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73B5-47C7-9CE8-8700502295EB}"/>
                </c:ext>
              </c:extLst>
            </c:dLbl>
            <c:dLbl>
              <c:idx val="2"/>
              <c:layout>
                <c:manualLayout>
                  <c:x val="-1.2012009739753662E-2"/>
                  <c:y val="-3.819400322405998E-17"/>
                </c:manualLayout>
              </c:layout>
              <c:tx>
                <c:rich>
                  <a:bodyPr/>
                  <a:lstStyle/>
                  <a:p>
                    <a:r>
                      <a:rPr lang="en-US"/>
                      <a:t>6,73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73B5-47C7-9CE8-8700502295EB}"/>
                </c:ext>
              </c:extLst>
            </c:dLbl>
            <c:dLbl>
              <c:idx val="3"/>
              <c:layout>
                <c:manualLayout>
                  <c:x val="1.2012009739753573E-2"/>
                  <c:y val="-8.3333333333333714E-3"/>
                </c:manualLayout>
              </c:layout>
              <c:tx>
                <c:rich>
                  <a:bodyPr wrap="square" lIns="38100" tIns="19050" rIns="38100" bIns="19050" anchor="ctr">
                    <a:noAutofit/>
                  </a:bodyPr>
                  <a:lstStyle/>
                  <a:p>
                    <a:pPr>
                      <a:defRPr/>
                    </a:pPr>
                    <a:r>
                      <a:rPr lang="en-US"/>
                      <a:t>4,06</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F-73B5-47C7-9CE8-8700502295EB}"/>
                </c:ext>
              </c:extLst>
            </c:dLbl>
            <c:dLbl>
              <c:idx val="4"/>
              <c:layout>
                <c:manualLayout>
                  <c:x val="2.4024019479507323E-2"/>
                  <c:y val="0"/>
                </c:manualLayout>
              </c:layout>
              <c:tx>
                <c:rich>
                  <a:bodyPr/>
                  <a:lstStyle/>
                  <a:p>
                    <a:r>
                      <a:rPr lang="en-US"/>
                      <a:t>6,11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73B5-47C7-9CE8-8700502295E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2021</c:v>
                </c:pt>
                <c:pt idx="1">
                  <c:v>2022</c:v>
                </c:pt>
                <c:pt idx="2">
                  <c:v>2023</c:v>
                </c:pt>
                <c:pt idx="3">
                  <c:v>2024</c:v>
                </c:pt>
                <c:pt idx="4">
                  <c:v>2025</c:v>
                </c:pt>
              </c:numCache>
            </c:numRef>
          </c:cat>
          <c:val>
            <c:numRef>
              <c:f>'04. FDI SO SANH '!$B$18:$F$18</c:f>
              <c:numCache>
                <c:formatCode>0.00</c:formatCode>
                <c:ptCount val="5"/>
                <c:pt idx="0">
                  <c:v>4.3831517401630418</c:v>
                </c:pt>
                <c:pt idx="1">
                  <c:v>4.0781715694799994</c:v>
                </c:pt>
                <c:pt idx="2">
                  <c:v>6.7348597343279764</c:v>
                </c:pt>
                <c:pt idx="3">
                  <c:v>4.0593142223912615</c:v>
                </c:pt>
                <c:pt idx="4">
                  <c:v>6.1172789364900009</c:v>
                </c:pt>
              </c:numCache>
            </c:numRef>
          </c:val>
          <c:extLst>
            <c:ext xmlns:c16="http://schemas.microsoft.com/office/drawing/2014/chart" uri="{C3380CC4-5D6E-409C-BE32-E72D297353CC}">
              <c16:uniqueId val="{00000011-73B5-47C7-9CE8-8700502295EB}"/>
            </c:ext>
          </c:extLst>
        </c:ser>
        <c:dLbls>
          <c:showLegendKey val="0"/>
          <c:showVal val="0"/>
          <c:showCatName val="0"/>
          <c:showSerName val="0"/>
          <c:showPercent val="0"/>
          <c:showBubbleSize val="0"/>
        </c:dLbls>
        <c:gapWidth val="150"/>
        <c:overlap val="100"/>
        <c:axId val="-1874218784"/>
        <c:axId val="-1874232928"/>
      </c:barChart>
      <c:catAx>
        <c:axId val="-1874218784"/>
        <c:scaling>
          <c:orientation val="minMax"/>
        </c:scaling>
        <c:delete val="0"/>
        <c:axPos val="l"/>
        <c:numFmt formatCode="General" sourceLinked="1"/>
        <c:majorTickMark val="out"/>
        <c:minorTickMark val="none"/>
        <c:tickLblPos val="nextTo"/>
        <c:crossAx val="-1874232928"/>
        <c:crosses val="autoZero"/>
        <c:auto val="1"/>
        <c:lblAlgn val="ctr"/>
        <c:lblOffset val="100"/>
        <c:noMultiLvlLbl val="0"/>
      </c:catAx>
      <c:valAx>
        <c:axId val="-1874232928"/>
        <c:scaling>
          <c:orientation val="minMax"/>
        </c:scaling>
        <c:delete val="0"/>
        <c:axPos val="b"/>
        <c:majorGridlines/>
        <c:numFmt formatCode="0.00" sourceLinked="1"/>
        <c:majorTickMark val="out"/>
        <c:minorTickMark val="none"/>
        <c:tickLblPos val="nextTo"/>
        <c:crossAx val="-1874218784"/>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Sheet1!$B$4:$F$4</c:f>
              <c:numCache>
                <c:formatCode>General</c:formatCode>
                <c:ptCount val="5"/>
                <c:pt idx="0">
                  <c:v>2021</c:v>
                </c:pt>
                <c:pt idx="1">
                  <c:v>2022</c:v>
                </c:pt>
                <c:pt idx="2">
                  <c:v>2023</c:v>
                </c:pt>
                <c:pt idx="3">
                  <c:v>2024</c:v>
                </c:pt>
                <c:pt idx="4">
                  <c:v>2025</c:v>
                </c:pt>
              </c:numCache>
            </c:numRef>
          </c:cat>
          <c:val>
            <c:numRef>
              <c:f>Sheet1!$B$5:$F$5</c:f>
              <c:numCache>
                <c:formatCode>0.00</c:formatCode>
                <c:ptCount val="5"/>
                <c:pt idx="0">
                  <c:v>17.100000000000001</c:v>
                </c:pt>
                <c:pt idx="1">
                  <c:v>19.684200000000001</c:v>
                </c:pt>
                <c:pt idx="2">
                  <c:v>20.25</c:v>
                </c:pt>
                <c:pt idx="3">
                  <c:v>21.68</c:v>
                </c:pt>
                <c:pt idx="4">
                  <c:v>23.6</c:v>
                </c:pt>
              </c:numCache>
            </c:numRef>
          </c:val>
          <c:extLst>
            <c:ext xmlns:c16="http://schemas.microsoft.com/office/drawing/2014/chart" uri="{C3380CC4-5D6E-409C-BE32-E72D297353CC}">
              <c16:uniqueId val="{00000000-C8BC-487B-B531-08AE5532171D}"/>
            </c:ext>
          </c:extLst>
        </c:ser>
        <c:dLbls>
          <c:showLegendKey val="0"/>
          <c:showVal val="0"/>
          <c:showCatName val="0"/>
          <c:showSerName val="0"/>
          <c:showPercent val="0"/>
          <c:showBubbleSize val="0"/>
        </c:dLbls>
        <c:gapWidth val="219"/>
        <c:overlap val="-27"/>
        <c:axId val="108849792"/>
        <c:axId val="108971136"/>
      </c:barChart>
      <c:catAx>
        <c:axId val="10884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8971136"/>
        <c:crosses val="autoZero"/>
        <c:auto val="1"/>
        <c:lblAlgn val="ctr"/>
        <c:lblOffset val="100"/>
        <c:noMultiLvlLbl val="0"/>
      </c:catAx>
      <c:valAx>
        <c:axId val="10897113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08849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a:solidFill>
                  <a:sysClr val="windowText" lastClr="000000"/>
                </a:solidFill>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v>Xuất khẩu hàng hóa</c:v>
          </c:tx>
          <c:spPr>
            <a:solidFill>
              <a:srgbClr val="00B050"/>
            </a:solidFill>
            <a:ln w="3175">
              <a:solidFill>
                <a:srgbClr val="00B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nước'!$B$3:$B$8</c:f>
              <c:numCache>
                <c:formatCode>0.0</c:formatCode>
                <c:ptCount val="6"/>
                <c:pt idx="0">
                  <c:v>63.2</c:v>
                </c:pt>
                <c:pt idx="1">
                  <c:v>138.6</c:v>
                </c:pt>
                <c:pt idx="2">
                  <c:v>35</c:v>
                </c:pt>
                <c:pt idx="3">
                  <c:v>26.1</c:v>
                </c:pt>
                <c:pt idx="4">
                  <c:v>51.2</c:v>
                </c:pt>
                <c:pt idx="5">
                  <c:v>24.4</c:v>
                </c:pt>
              </c:numCache>
            </c:numRef>
          </c:val>
          <c:extLst>
            <c:ext xmlns:c16="http://schemas.microsoft.com/office/drawing/2014/chart" uri="{C3380CC4-5D6E-409C-BE32-E72D297353CC}">
              <c16:uniqueId val="{00000000-27AA-4ADF-AF8A-4718A292A628}"/>
            </c:ext>
          </c:extLst>
        </c:ser>
        <c:ser>
          <c:idx val="1"/>
          <c:order val="1"/>
          <c:tx>
            <c:v>Nhập khẩu hàng hóa</c:v>
          </c:tx>
          <c:spPr>
            <a:solidFill>
              <a:srgbClr val="7030A0"/>
            </a:solidFill>
            <a:ln w="3175">
              <a:solidFill>
                <a:srgbClr val="7030A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nước'!$D$3:$D$8</c:f>
              <c:numCache>
                <c:formatCode>0.0</c:formatCode>
                <c:ptCount val="6"/>
                <c:pt idx="0">
                  <c:v>167.5</c:v>
                </c:pt>
                <c:pt idx="1">
                  <c:v>17</c:v>
                </c:pt>
                <c:pt idx="2">
                  <c:v>47.4</c:v>
                </c:pt>
                <c:pt idx="3">
                  <c:v>54.4</c:v>
                </c:pt>
                <c:pt idx="4">
                  <c:v>15.6</c:v>
                </c:pt>
                <c:pt idx="5">
                  <c:v>22.4</c:v>
                </c:pt>
              </c:numCache>
            </c:numRef>
          </c:val>
          <c:extLst>
            <c:ext xmlns:c16="http://schemas.microsoft.com/office/drawing/2014/chart" uri="{C3380CC4-5D6E-409C-BE32-E72D297353CC}">
              <c16:uniqueId val="{00000001-27AA-4ADF-AF8A-4718A292A628}"/>
            </c:ext>
          </c:extLst>
        </c:ser>
        <c:dLbls>
          <c:showLegendKey val="0"/>
          <c:showVal val="0"/>
          <c:showCatName val="0"/>
          <c:showSerName val="0"/>
          <c:showPercent val="0"/>
          <c:showBubbleSize val="0"/>
        </c:dLbls>
        <c:gapWidth val="70"/>
        <c:overlap val="100"/>
        <c:axId val="319683056"/>
        <c:axId val="319688048"/>
      </c:barChart>
      <c:catAx>
        <c:axId val="31968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19688048"/>
        <c:crosses val="autoZero"/>
        <c:auto val="1"/>
        <c:lblAlgn val="ctr"/>
        <c:lblOffset val="100"/>
        <c:noMultiLvlLbl val="0"/>
      </c:catAx>
      <c:valAx>
        <c:axId val="319688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3196830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cùng kỳ năm trước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00B050"/>
            </a:solidFill>
            <a:ln w="3175">
              <a:solidFill>
                <a:srgbClr val="00B050"/>
              </a:solidFill>
            </a:ln>
            <a:effectLst/>
          </c:spPr>
          <c:invertIfNegative val="0"/>
          <c:dLbls>
            <c:dLbl>
              <c:idx val="0"/>
              <c:layout>
                <c:manualLayout>
                  <c:x val="-1.1698538788025249E-2"/>
                  <c:y val="-9.623685851731647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632-4A75-BA67-2CC08518EDD3}"/>
                </c:ext>
              </c:extLst>
            </c:dLbl>
            <c:dLbl>
              <c:idx val="1"/>
              <c:layout>
                <c:manualLayout>
                  <c:x val="-8.7527846502889872E-3"/>
                  <c:y val="8.1385246031799776E-3"/>
                </c:manualLayout>
              </c:layout>
              <c:numFmt formatCode="#,##0.0" sourceLinked="0"/>
              <c:spPr>
                <a:noFill/>
                <a:ln>
                  <a:noFill/>
                </a:ln>
                <a:effectLst/>
              </c:spPr>
              <c:txPr>
                <a:bodyPr rot="0" spcFirstLastPara="1" vertOverflow="overflow" horzOverflow="overflow" vert="horz" wrap="square" lIns="38100" tIns="19050" rIns="38100" bIns="19050" anchor="ctr" anchorCtr="0">
                  <a:spAutoFit/>
                </a:bodyPr>
                <a:lstStyle/>
                <a:p>
                  <a:pPr algn="ctr">
                    <a:defRPr lang="en-US"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32-4A75-BA67-2CC08518EDD3}"/>
                </c:ext>
              </c:extLst>
            </c:dLbl>
            <c:dLbl>
              <c:idx val="2"/>
              <c:layout>
                <c:manualLayout>
                  <c:x val="-4.8064734118303479E-3"/>
                  <c:y val="3.204167982083623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32-4A75-BA67-2CC08518EDD3}"/>
                </c:ext>
              </c:extLst>
            </c:dLbl>
            <c:dLbl>
              <c:idx val="3"/>
              <c:layout>
                <c:manualLayout>
                  <c:x val="-8.7060339278259048E-3"/>
                  <c:y val="9.848010291787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32-4A75-BA67-2CC08518EDD3}"/>
                </c:ext>
              </c:extLst>
            </c:dLbl>
            <c:dLbl>
              <c:idx val="4"/>
              <c:layout>
                <c:manualLayout>
                  <c:x val="-5.0025117410936867E-3"/>
                  <c:y val="1.22082004271155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632-4A75-BA67-2CC08518EDD3}"/>
                </c:ext>
              </c:extLst>
            </c:dLbl>
            <c:dLbl>
              <c:idx val="5"/>
              <c:layout>
                <c:manualLayout>
                  <c:x val="-5.3345045366861828E-4"/>
                  <c:y val="8.1385866735449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632-4A75-BA67-2CC08518EDD3}"/>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nước'!$C$3:$C$8</c:f>
              <c:numCache>
                <c:formatCode>0.0</c:formatCode>
                <c:ptCount val="6"/>
                <c:pt idx="0">
                  <c:v>14.5</c:v>
                </c:pt>
                <c:pt idx="1">
                  <c:v>27.2</c:v>
                </c:pt>
                <c:pt idx="2">
                  <c:v>3</c:v>
                </c:pt>
                <c:pt idx="3">
                  <c:v>11.5</c:v>
                </c:pt>
                <c:pt idx="4">
                  <c:v>7.9</c:v>
                </c:pt>
                <c:pt idx="5">
                  <c:v>8.6</c:v>
                </c:pt>
              </c:numCache>
            </c:numRef>
          </c:val>
          <c:extLst>
            <c:ext xmlns:c16="http://schemas.microsoft.com/office/drawing/2014/chart" uri="{C3380CC4-5D6E-409C-BE32-E72D297353CC}">
              <c16:uniqueId val="{00000006-4632-4A75-BA67-2CC08518EDD3}"/>
            </c:ext>
          </c:extLst>
        </c:ser>
        <c:ser>
          <c:idx val="1"/>
          <c:order val="1"/>
          <c:tx>
            <c:v>Nhập khẩu hàng hóa</c:v>
          </c:tx>
          <c:spPr>
            <a:solidFill>
              <a:srgbClr val="7030A0"/>
            </a:solidFill>
            <a:ln w="3175">
              <a:solidFill>
                <a:srgbClr val="7030A0"/>
              </a:solidFill>
            </a:ln>
            <a:effectLst/>
          </c:spPr>
          <c:invertIfNegative val="0"/>
          <c:dLbls>
            <c:dLbl>
              <c:idx val="0"/>
              <c:layout>
                <c:manualLayout>
                  <c:x val="-1.0116792767266543E-2"/>
                  <c:y val="-2.640899099329989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632-4A75-BA67-2CC08518EDD3}"/>
                </c:ext>
              </c:extLst>
            </c:dLbl>
            <c:dLbl>
              <c:idx val="1"/>
              <c:layout>
                <c:manualLayout>
                  <c:x val="1.212618957180548E-2"/>
                  <c:y val="1.96639421800882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632-4A75-BA67-2CC08518EDD3}"/>
                </c:ext>
              </c:extLst>
            </c:dLbl>
            <c:dLbl>
              <c:idx val="2"/>
              <c:layout>
                <c:manualLayout>
                  <c:x val="-5.6292688995558037E-3"/>
                  <c:y val="8.13890709034319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632-4A75-BA67-2CC08518EDD3}"/>
                </c:ext>
              </c:extLst>
            </c:dLbl>
            <c:dLbl>
              <c:idx val="4"/>
              <c:layout>
                <c:manualLayout>
                  <c:x val="-3.7659080098691993E-3"/>
                  <c:y val="1.10286127803599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632-4A75-BA67-2CC08518EDD3}"/>
                </c:ext>
              </c:extLst>
            </c:dLbl>
            <c:dLbl>
              <c:idx val="5"/>
              <c:layout>
                <c:manualLayout>
                  <c:x val="8.8829867947340694E-5"/>
                  <c:y val="3.204167981710609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632-4A75-BA67-2CC08518EDD3}"/>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nước'!$E$3:$E$8</c:f>
              <c:numCache>
                <c:formatCode>General</c:formatCode>
                <c:ptCount val="6"/>
                <c:pt idx="0" formatCode="0.0">
                  <c:v>28.2</c:v>
                </c:pt>
                <c:pt idx="1">
                  <c:v>25.2</c:v>
                </c:pt>
                <c:pt idx="2">
                  <c:v>11.7</c:v>
                </c:pt>
                <c:pt idx="3" formatCode="0.0">
                  <c:v>6.3</c:v>
                </c:pt>
                <c:pt idx="4" formatCode="0.0">
                  <c:v>2.5</c:v>
                </c:pt>
                <c:pt idx="5" formatCode="0.0">
                  <c:v>14.1</c:v>
                </c:pt>
              </c:numCache>
            </c:numRef>
          </c:val>
          <c:extLst>
            <c:ext xmlns:c16="http://schemas.microsoft.com/office/drawing/2014/chart" uri="{C3380CC4-5D6E-409C-BE32-E72D297353CC}">
              <c16:uniqueId val="{0000000C-4632-4A75-BA67-2CC08518EDD3}"/>
            </c:ext>
          </c:extLst>
        </c:ser>
        <c:dLbls>
          <c:showLegendKey val="0"/>
          <c:showVal val="0"/>
          <c:showCatName val="0"/>
          <c:showSerName val="0"/>
          <c:showPercent val="0"/>
          <c:showBubbleSize val="0"/>
        </c:dLbls>
        <c:gapWidth val="100"/>
        <c:overlap val="-27"/>
        <c:axId val="464358304"/>
        <c:axId val="464351232"/>
      </c:barChart>
      <c:catAx>
        <c:axId val="4643583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464351232"/>
        <c:crosses val="autoZero"/>
        <c:auto val="0"/>
        <c:lblAlgn val="ctr"/>
        <c:lblOffset val="100"/>
        <c:noMultiLvlLbl val="0"/>
      </c:catAx>
      <c:valAx>
        <c:axId val="464351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4643583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0.17895</cdr:x>
      <cdr:y>0.11617</cdr:y>
    </cdr:from>
    <cdr:to>
      <cdr:x>0.26164</cdr:x>
      <cdr:y>0.16783</cdr:y>
    </cdr:to>
    <cdr:sp macro="" textlink="">
      <cdr:nvSpPr>
        <cdr:cNvPr id="4" name="Rectangle 3">
          <a:extLst xmlns:a="http://schemas.openxmlformats.org/drawingml/2006/main">
            <a:ext uri="{FF2B5EF4-FFF2-40B4-BE49-F238E27FC236}">
              <a16:creationId xmlns:a16="http://schemas.microsoft.com/office/drawing/2014/main" id="{74DF8E20-E5C2-D015-9566-587CFDFAB363}"/>
            </a:ext>
          </a:extLst>
        </cdr:cNvPr>
        <cdr:cNvSpPr/>
      </cdr:nvSpPr>
      <cdr:spPr>
        <a:xfrm xmlns:a="http://schemas.openxmlformats.org/drawingml/2006/main">
          <a:off x="1084063" y="327530"/>
          <a:ext cx="500928" cy="14565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43,8%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0.72405</cdr:x>
      <cdr:y>0.51045</cdr:y>
    </cdr:from>
    <cdr:to>
      <cdr:x>0.80975</cdr:x>
      <cdr:y>0.62985</cdr:y>
    </cdr:to>
    <cdr:sp macro="" textlink="">
      <cdr:nvSpPr>
        <cdr:cNvPr id="5" name="Rectangle 4">
          <a:extLst xmlns:a="http://schemas.openxmlformats.org/drawingml/2006/main">
            <a:ext uri="{FF2B5EF4-FFF2-40B4-BE49-F238E27FC236}">
              <a16:creationId xmlns:a16="http://schemas.microsoft.com/office/drawing/2014/main" id="{0880D7C8-9B92-7079-8B94-D704261C72FA}"/>
            </a:ext>
          </a:extLst>
        </cdr:cNvPr>
        <cdr:cNvSpPr/>
      </cdr:nvSpPr>
      <cdr:spPr>
        <a:xfrm xmlns:a="http://schemas.openxmlformats.org/drawingml/2006/main">
          <a:off x="4386222" y="1628775"/>
          <a:ext cx="519153" cy="381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  17,6%</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a16="http://schemas.microsoft.com/office/drawing/2014/main"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0.16911</cdr:x>
      <cdr:y>0.12934</cdr:y>
    </cdr:from>
    <cdr:to>
      <cdr:x>0.18829</cdr:x>
      <cdr:y>0.16475</cdr:y>
    </cdr:to>
    <cdr:sp macro="" textlink="">
      <cdr:nvSpPr>
        <cdr:cNvPr id="7"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1818325" y="536048"/>
          <a:ext cx="153581" cy="20340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0.52733</cdr:x>
      <cdr:y>0.51877</cdr:y>
    </cdr:from>
    <cdr:to>
      <cdr:x>0.54651</cdr:x>
      <cdr:y>0.55418</cdr:y>
    </cdr:to>
    <cdr:sp macro="" textlink="">
      <cdr:nvSpPr>
        <cdr:cNvPr id="11" name="Arrow: Right 10">
          <a:extLst xmlns:a="http://schemas.openxmlformats.org/drawingml/2006/main">
            <a:ext uri="{FF2B5EF4-FFF2-40B4-BE49-F238E27FC236}">
              <a16:creationId xmlns:a16="http://schemas.microsoft.com/office/drawing/2014/main" id="{2069DF1B-87D3-7189-B4C4-DFA2B71A37EC}"/>
            </a:ext>
          </a:extLst>
        </cdr:cNvPr>
        <cdr:cNvSpPr/>
      </cdr:nvSpPr>
      <cdr:spPr>
        <a:xfrm xmlns:a="http://schemas.openxmlformats.org/drawingml/2006/main" rot="16200000">
          <a:off x="5620847" y="2117801"/>
          <a:ext cx="146497" cy="20340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0.42964</cdr:x>
      <cdr:y>0.50398</cdr:y>
    </cdr:from>
    <cdr:to>
      <cdr:x>0.44882</cdr:x>
      <cdr:y>0.53939</cdr:y>
    </cdr:to>
    <cdr:sp macro="" textlink="">
      <cdr:nvSpPr>
        <cdr:cNvPr id="13" name="Arrow: Right 12">
          <a:extLst xmlns:a="http://schemas.openxmlformats.org/drawingml/2006/main">
            <a:ext uri="{FF2B5EF4-FFF2-40B4-BE49-F238E27FC236}">
              <a16:creationId xmlns:a16="http://schemas.microsoft.com/office/drawing/2014/main" id="{B3E23A0A-4E44-37BF-8991-C46BEDBBAFD5}"/>
            </a:ext>
          </a:extLst>
        </cdr:cNvPr>
        <cdr:cNvSpPr/>
      </cdr:nvSpPr>
      <cdr:spPr>
        <a:xfrm xmlns:a="http://schemas.openxmlformats.org/drawingml/2006/main" rot="16200000">
          <a:off x="4584796" y="2056588"/>
          <a:ext cx="146498" cy="203407"/>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0.27721</cdr:x>
      <cdr:y>0.30368</cdr:y>
    </cdr:from>
    <cdr:to>
      <cdr:x>0.36926</cdr:x>
      <cdr:y>0.4202</cdr:y>
    </cdr:to>
    <cdr:sp macro="" textlink="">
      <cdr:nvSpPr>
        <cdr:cNvPr id="14" name="Rectangle 13">
          <a:extLst xmlns:a="http://schemas.openxmlformats.org/drawingml/2006/main">
            <a:ext uri="{FF2B5EF4-FFF2-40B4-BE49-F238E27FC236}">
              <a16:creationId xmlns:a16="http://schemas.microsoft.com/office/drawing/2014/main" id="{DF40C718-A3E0-1AB3-8BEF-853B18AE7F7E}"/>
            </a:ext>
          </a:extLst>
        </cdr:cNvPr>
        <cdr:cNvSpPr/>
      </cdr:nvSpPr>
      <cdr:spPr>
        <a:xfrm xmlns:a="http://schemas.openxmlformats.org/drawingml/2006/main">
          <a:off x="2939893" y="1213009"/>
          <a:ext cx="976160" cy="4654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27,6%</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0.34191</cdr:x>
      <cdr:y>0.45107</cdr:y>
    </cdr:from>
    <cdr:to>
      <cdr:x>0.43948</cdr:x>
      <cdr:y>0.55119</cdr:y>
    </cdr:to>
    <cdr:sp macro="" textlink="">
      <cdr:nvSpPr>
        <cdr:cNvPr id="15" name="Rectangle 14">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2071245" y="1271735"/>
          <a:ext cx="591069" cy="28227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129,8%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0.4391</cdr:x>
      <cdr:y>0.48643</cdr:y>
    </cdr:from>
    <cdr:to>
      <cdr:x>0.53667</cdr:x>
      <cdr:y>0.5643</cdr:y>
    </cdr:to>
    <cdr:sp macro="" textlink="">
      <cdr:nvSpPr>
        <cdr:cNvPr id="16" name="Rectangle 15">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2660051" y="1371435"/>
          <a:ext cx="591069" cy="21954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54,8%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0.53512</cdr:x>
      <cdr:y>0.50627</cdr:y>
    </cdr:from>
    <cdr:to>
      <cdr:x>0.63269</cdr:x>
      <cdr:y>0.59166</cdr:y>
    </cdr:to>
    <cdr:sp macro="" textlink="">
      <cdr:nvSpPr>
        <cdr:cNvPr id="17" name="Rectangle 16">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3241716" y="1427384"/>
          <a:ext cx="591069" cy="24074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21,1%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0.63261</cdr:x>
      <cdr:y>0.53444</cdr:y>
    </cdr:from>
    <cdr:to>
      <cdr:x>0.73018</cdr:x>
      <cdr:y>0.61035</cdr:y>
    </cdr:to>
    <cdr:sp macro="" textlink="">
      <cdr:nvSpPr>
        <cdr:cNvPr id="18" name="Rectangle 17">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3832267" y="1506813"/>
          <a:ext cx="591069" cy="21402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baseline="0">
              <a:solidFill>
                <a:sysClr val="windowText" lastClr="000000"/>
              </a:solidFill>
              <a:latin typeface="Arial" panose="020B0604020202020204" pitchFamily="34" charset="0"/>
              <a:cs typeface="Arial" panose="020B0604020202020204" pitchFamily="34" charset="0"/>
            </a:rPr>
            <a:t>  52</a:t>
          </a:r>
          <a:r>
            <a:rPr lang="en-US" sz="800">
              <a:solidFill>
                <a:sysClr val="windowText" lastClr="000000"/>
              </a:solidFill>
              <a:latin typeface="Arial" panose="020B0604020202020204" pitchFamily="34" charset="0"/>
              <a:cs typeface="Arial" panose="020B0604020202020204" pitchFamily="34" charset="0"/>
            </a:rPr>
            <a:t>,2%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0.82747</cdr:x>
      <cdr:y>0.56055</cdr:y>
    </cdr:from>
    <cdr:to>
      <cdr:x>0.93548</cdr:x>
      <cdr:y>0.62143</cdr:y>
    </cdr:to>
    <cdr:sp macro="" textlink="">
      <cdr:nvSpPr>
        <cdr:cNvPr id="19" name="Rectangle 18">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012716" y="1580409"/>
          <a:ext cx="654314" cy="17164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14,1%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0.91515</cdr:x>
      <cdr:y>0.56687</cdr:y>
    </cdr:from>
    <cdr:to>
      <cdr:x>0.99534</cdr:x>
      <cdr:y>0.66538</cdr:y>
    </cdr:to>
    <cdr:sp macro="" textlink="">
      <cdr:nvSpPr>
        <cdr:cNvPr id="20" name="Rectangle 19">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543873" y="1598231"/>
          <a:ext cx="485783" cy="27773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39,8%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0.26746</cdr:x>
      <cdr:y>0.31533</cdr:y>
    </cdr:from>
    <cdr:to>
      <cdr:x>0.28664</cdr:x>
      <cdr:y>0.35074</cdr:y>
    </cdr:to>
    <cdr:sp macro="" textlink="">
      <cdr:nvSpPr>
        <cdr:cNvPr id="24"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2867470" y="1228542"/>
          <a:ext cx="141439" cy="20340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0.33462</cdr:x>
      <cdr:y>0.46832</cdr:y>
    </cdr:from>
    <cdr:to>
      <cdr:x>0.3538</cdr:x>
      <cdr:y>0.50374</cdr:y>
    </cdr:to>
    <cdr:sp macro="" textlink="">
      <cdr:nvSpPr>
        <cdr:cNvPr id="25"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3580700" y="1811862"/>
          <a:ext cx="139454" cy="203407"/>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0.82123</cdr:x>
      <cdr:y>0.5772</cdr:y>
    </cdr:from>
    <cdr:to>
      <cdr:x>0.84041</cdr:x>
      <cdr:y>0.61261</cdr:y>
    </cdr:to>
    <cdr:sp macro="" textlink="">
      <cdr:nvSpPr>
        <cdr:cNvPr id="27"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7692113" y="2405593"/>
          <a:ext cx="148521" cy="17929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0.63468</cdr:x>
      <cdr:y>0.55178</cdr:y>
    </cdr:from>
    <cdr:to>
      <cdr:x>0.65174</cdr:x>
      <cdr:y>0.58789</cdr:y>
    </cdr:to>
    <cdr:sp macro="" textlink="">
      <cdr:nvSpPr>
        <cdr:cNvPr id="23" name="Arrow: Right 14">
          <a:extLst xmlns:a="http://schemas.openxmlformats.org/drawingml/2006/main">
            <a:ext uri="{FF2B5EF4-FFF2-40B4-BE49-F238E27FC236}">
              <a16:creationId xmlns:a16="http://schemas.microsoft.com/office/drawing/2014/main" id="{4FDFFF9F-F3B4-F68C-E0B9-B14B90A21B49}"/>
            </a:ext>
          </a:extLst>
        </cdr:cNvPr>
        <cdr:cNvSpPr/>
      </cdr:nvSpPr>
      <cdr:spPr>
        <a:xfrm xmlns:a="http://schemas.openxmlformats.org/drawingml/2006/main" rot="16200000">
          <a:off x="6746645" y="2267035"/>
          <a:ext cx="149376" cy="18097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0.7172</cdr:x>
      <cdr:y>0.56091</cdr:y>
    </cdr:from>
    <cdr:to>
      <cdr:x>0.73707</cdr:x>
      <cdr:y>0.60631</cdr:y>
    </cdr:to>
    <cdr:sp macro="" textlink="">
      <cdr:nvSpPr>
        <cdr:cNvPr id="2" name="Arrow: Right 1">
          <a:extLst xmlns:a="http://schemas.openxmlformats.org/drawingml/2006/main">
            <a:ext uri="{FF2B5EF4-FFF2-40B4-BE49-F238E27FC236}">
              <a16:creationId xmlns:a16="http://schemas.microsoft.com/office/drawing/2014/main" id="{31125FEE-AEBF-8667-81E7-4B5BB3A9B097}"/>
            </a:ext>
          </a:extLst>
        </cdr:cNvPr>
        <cdr:cNvSpPr/>
      </cdr:nvSpPr>
      <cdr:spPr>
        <a:xfrm xmlns:a="http://schemas.openxmlformats.org/drawingml/2006/main" rot="16200000">
          <a:off x="7617463" y="2309179"/>
          <a:ext cx="187820" cy="210640"/>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0.90742</cdr:x>
      <cdr:y>0.58145</cdr:y>
    </cdr:from>
    <cdr:to>
      <cdr:x>0.9266</cdr:x>
      <cdr:y>0.61686</cdr:y>
    </cdr:to>
    <cdr:sp macro="" textlink="">
      <cdr:nvSpPr>
        <cdr:cNvPr id="3" name="Arrow: Right 2">
          <a:extLst xmlns:a="http://schemas.openxmlformats.org/drawingml/2006/main">
            <a:ext uri="{FF2B5EF4-FFF2-40B4-BE49-F238E27FC236}">
              <a16:creationId xmlns:a16="http://schemas.microsoft.com/office/drawing/2014/main" id="{7E508EF3-CAC5-316D-80D6-EE89FCCD29DD}"/>
            </a:ext>
          </a:extLst>
        </cdr:cNvPr>
        <cdr:cNvSpPr/>
      </cdr:nvSpPr>
      <cdr:spPr>
        <a:xfrm xmlns:a="http://schemas.openxmlformats.org/drawingml/2006/main" rot="16200000">
          <a:off x="5498669" y="1853733"/>
          <a:ext cx="112989" cy="11619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2.xml><?xml version="1.0" encoding="utf-8"?>
<c:userShapes xmlns:c="http://schemas.openxmlformats.org/drawingml/2006/chart">
  <cdr:relSizeAnchor xmlns:cdr="http://schemas.openxmlformats.org/drawingml/2006/chartDrawing">
    <cdr:from>
      <cdr:x>0.82523</cdr:x>
      <cdr:y>0.05278</cdr:y>
    </cdr:from>
    <cdr:to>
      <cdr:x>0.94595</cdr:x>
      <cdr:y>0.13373</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362451" y="160873"/>
          <a:ext cx="638175"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33,69</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0.81526</cdr:x>
      <cdr:y>0.18043</cdr:y>
    </cdr:from>
    <cdr:to>
      <cdr:x>0.94679</cdr:x>
      <cdr:y>0.26138</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4309770" y="500108"/>
          <a:ext cx="695317" cy="2243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31,38</a:t>
          </a:r>
        </a:p>
      </cdr:txBody>
    </cdr:sp>
  </cdr:relSizeAnchor>
  <cdr:relSizeAnchor xmlns:cdr="http://schemas.openxmlformats.org/drawingml/2006/chartDrawing">
    <cdr:from>
      <cdr:x>0.83068</cdr:x>
      <cdr:y>0.3257</cdr:y>
    </cdr:from>
    <cdr:to>
      <cdr:x>0.93698</cdr:x>
      <cdr:y>0.40665</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4391264" y="902771"/>
          <a:ext cx="561942" cy="2243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31,07</a:t>
          </a:r>
        </a:p>
      </cdr:txBody>
    </cdr:sp>
  </cdr:relSizeAnchor>
  <cdr:relSizeAnchor xmlns:cdr="http://schemas.openxmlformats.org/drawingml/2006/chartDrawing">
    <cdr:from>
      <cdr:x>0.82492</cdr:x>
      <cdr:y>0.45858</cdr:y>
    </cdr:from>
    <cdr:to>
      <cdr:x>0.93843</cdr:x>
      <cdr:y>0.53953</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4360821" y="1271067"/>
          <a:ext cx="600057" cy="2243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25,14</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0.82782</cdr:x>
      <cdr:y>0.59224</cdr:y>
    </cdr:from>
    <cdr:to>
      <cdr:x>0.93053</cdr:x>
      <cdr:y>0.67319</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376142" y="1641553"/>
          <a:ext cx="542964" cy="2243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26,46</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0C0EA-F459-451B-9A54-A6AD36EDE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7868</Words>
  <Characters>44854</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ltanh</dc:creator>
  <cp:keywords/>
  <dc:description/>
  <cp:lastModifiedBy>tuấn anh lê</cp:lastModifiedBy>
  <cp:revision>2</cp:revision>
  <cp:lastPrinted>2025-11-06T06:37:00Z</cp:lastPrinted>
  <dcterms:created xsi:type="dcterms:W3CDTF">2025-12-05T15:04:00Z</dcterms:created>
  <dcterms:modified xsi:type="dcterms:W3CDTF">2025-12-05T15:04:00Z</dcterms:modified>
</cp:coreProperties>
</file>